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DEB2" w14:textId="77777777" w:rsidR="00120107" w:rsidRDefault="009A50EA">
      <w:pPr>
        <w:pStyle w:val="1"/>
        <w:spacing w:before="240" w:after="240" w:line="360" w:lineRule="auto"/>
        <w:jc w:val="center"/>
        <w:rPr>
          <w:rFonts w:ascii="仿宋" w:eastAsia="仿宋" w:hAnsi="仿宋" w:cs="仿宋"/>
          <w:color w:val="000000" w:themeColor="text1"/>
          <w:lang w:eastAsia="zh-Hans"/>
        </w:rPr>
      </w:pPr>
      <w:r>
        <w:rPr>
          <w:rFonts w:ascii="仿宋" w:eastAsia="仿宋" w:hAnsi="仿宋" w:cs="仿宋" w:hint="eastAsia"/>
          <w:color w:val="000000" w:themeColor="text1"/>
          <w:lang w:eastAsia="zh-Hans"/>
        </w:rPr>
        <w:t>南通市第六人民医院</w:t>
      </w:r>
    </w:p>
    <w:p w14:paraId="651B15A6" w14:textId="77777777" w:rsidR="00120107" w:rsidRDefault="009A50EA">
      <w:pPr>
        <w:pStyle w:val="1"/>
        <w:spacing w:before="240" w:after="240" w:line="360" w:lineRule="auto"/>
        <w:jc w:val="center"/>
        <w:rPr>
          <w:rFonts w:ascii="仿宋" w:eastAsia="仿宋" w:hAnsi="仿宋" w:cs="仿宋"/>
          <w:color w:val="000000" w:themeColor="text1"/>
        </w:rPr>
      </w:pPr>
      <w:r>
        <w:rPr>
          <w:rFonts w:ascii="仿宋" w:eastAsia="仿宋" w:hAnsi="仿宋" w:cs="仿宋" w:hint="eastAsia"/>
          <w:color w:val="000000" w:themeColor="text1"/>
          <w:lang w:eastAsia="zh-Hans"/>
        </w:rPr>
        <w:t>信息系统</w:t>
      </w:r>
      <w:r>
        <w:rPr>
          <w:rFonts w:ascii="仿宋" w:eastAsia="仿宋" w:hAnsi="仿宋" w:cs="仿宋" w:hint="eastAsia"/>
          <w:color w:val="000000" w:themeColor="text1"/>
        </w:rPr>
        <w:t>等级保护测评</w:t>
      </w:r>
      <w:r>
        <w:rPr>
          <w:rFonts w:ascii="仿宋" w:eastAsia="仿宋" w:hAnsi="仿宋" w:cs="仿宋" w:hint="eastAsia"/>
          <w:color w:val="000000" w:themeColor="text1"/>
          <w:lang w:eastAsia="zh-Hans"/>
        </w:rPr>
        <w:t>服务</w:t>
      </w:r>
      <w:r>
        <w:rPr>
          <w:rFonts w:ascii="仿宋" w:eastAsia="仿宋" w:hAnsi="仿宋" w:cs="仿宋" w:hint="eastAsia"/>
          <w:color w:val="000000" w:themeColor="text1"/>
        </w:rPr>
        <w:t>采购需求</w:t>
      </w:r>
    </w:p>
    <w:p w14:paraId="5B1A69FB" w14:textId="77777777" w:rsidR="00120107" w:rsidRDefault="00120107">
      <w:pPr>
        <w:rPr>
          <w:rFonts w:ascii="仿宋" w:eastAsia="仿宋" w:hAnsi="仿宋" w:cs="仿宋"/>
          <w:color w:val="000000" w:themeColor="text1"/>
        </w:rPr>
      </w:pPr>
    </w:p>
    <w:p w14:paraId="246CAFE0" w14:textId="77777777" w:rsidR="00120107" w:rsidRDefault="00120107">
      <w:pPr>
        <w:pStyle w:val="2"/>
      </w:pPr>
    </w:p>
    <w:p w14:paraId="78A3DC58" w14:textId="77777777" w:rsidR="00120107" w:rsidRDefault="009A50EA">
      <w:pPr>
        <w:widowControl/>
        <w:spacing w:line="360" w:lineRule="auto"/>
        <w:ind w:firstLineChars="200" w:firstLine="480"/>
        <w:rPr>
          <w:rFonts w:ascii="仿宋" w:eastAsia="仿宋" w:hAnsi="仿宋" w:cs="宋体"/>
          <w:bCs/>
          <w:color w:val="000000" w:themeColor="text1"/>
          <w:kern w:val="0"/>
          <w:sz w:val="24"/>
          <w:szCs w:val="28"/>
        </w:rPr>
      </w:pPr>
      <w:r>
        <w:rPr>
          <w:rFonts w:ascii="仿宋" w:eastAsia="仿宋" w:hAnsi="仿宋" w:cs="仿宋_GB2312" w:hint="eastAsia"/>
          <w:bCs/>
          <w:sz w:val="24"/>
          <w:szCs w:val="24"/>
        </w:rPr>
        <w:t>《信息安全等级保护管理办法》公通字[2007]43号第十四条规定“信息系统建设完成后，运营、使用单位或者其主管部门应当选择符合本办法规定条件的测评机构，依据《信息系统安全等级保护测评要求》等技术标准，定期对信息系统安全等级状况开展等级测评。第二级信息系统应当每两年至少进行一次等级测评，第三级信息系统应当每年至少进行一次等级测评。”</w:t>
      </w:r>
    </w:p>
    <w:p w14:paraId="4149101C" w14:textId="77777777" w:rsidR="00120107" w:rsidRDefault="009A50EA">
      <w:pPr>
        <w:widowControl/>
        <w:spacing w:line="360" w:lineRule="auto"/>
        <w:ind w:firstLineChars="200" w:firstLine="480"/>
        <w:rPr>
          <w:rFonts w:ascii="仿宋" w:eastAsia="仿宋" w:hAnsi="仿宋" w:cs="楷体_GB2312"/>
          <w:bCs/>
          <w:color w:val="000000" w:themeColor="text1"/>
          <w:kern w:val="0"/>
          <w:sz w:val="24"/>
          <w:szCs w:val="24"/>
        </w:rPr>
      </w:pPr>
      <w:r>
        <w:rPr>
          <w:rFonts w:ascii="仿宋" w:eastAsia="仿宋" w:hAnsi="仿宋" w:cs="宋体" w:hint="eastAsia"/>
          <w:color w:val="000000" w:themeColor="text1"/>
          <w:kern w:val="0"/>
          <w:sz w:val="24"/>
          <w:szCs w:val="28"/>
        </w:rPr>
        <w:t>为落实《网络安全法》和</w:t>
      </w:r>
      <w:r>
        <w:rPr>
          <w:rFonts w:ascii="仿宋" w:eastAsia="仿宋" w:hAnsi="仿宋" w:cs="仿宋_GB2312" w:hint="eastAsia"/>
          <w:bCs/>
          <w:sz w:val="24"/>
          <w:szCs w:val="24"/>
        </w:rPr>
        <w:t>《信息安全等级保护管理办法》的相关要求</w:t>
      </w:r>
      <w:r>
        <w:rPr>
          <w:rFonts w:ascii="仿宋" w:eastAsia="仿宋" w:hAnsi="仿宋" w:cs="宋体" w:hint="eastAsia"/>
          <w:color w:val="000000" w:themeColor="text1"/>
          <w:kern w:val="0"/>
          <w:sz w:val="24"/>
          <w:szCs w:val="28"/>
        </w:rPr>
        <w:t>，</w:t>
      </w:r>
      <w:r>
        <w:rPr>
          <w:rFonts w:ascii="仿宋" w:eastAsia="仿宋" w:hAnsi="仿宋" w:cs="宋体"/>
          <w:color w:val="000000" w:themeColor="text1"/>
          <w:kern w:val="0"/>
          <w:sz w:val="24"/>
          <w:szCs w:val="28"/>
          <w:lang w:eastAsia="zh-Hans"/>
        </w:rPr>
        <w:t>南通市第六人民医院</w:t>
      </w:r>
      <w:r>
        <w:rPr>
          <w:rFonts w:ascii="仿宋" w:eastAsia="仿宋" w:hAnsi="仿宋" w:cs="宋体" w:hint="eastAsia"/>
          <w:color w:val="000000" w:themeColor="text1"/>
          <w:kern w:val="0"/>
          <w:sz w:val="24"/>
          <w:szCs w:val="28"/>
          <w:lang w:eastAsia="zh-Hans"/>
        </w:rPr>
        <w:t>决定对医院核心重要</w:t>
      </w:r>
      <w:r>
        <w:rPr>
          <w:rFonts w:ascii="仿宋" w:eastAsia="仿宋" w:hAnsi="仿宋" w:cs="仿宋"/>
          <w:color w:val="000000" w:themeColor="text1"/>
          <w:sz w:val="24"/>
          <w:szCs w:val="24"/>
        </w:rPr>
        <w:t>系统</w:t>
      </w:r>
      <w:r>
        <w:rPr>
          <w:rFonts w:ascii="仿宋" w:eastAsia="仿宋" w:hAnsi="仿宋" w:cs="仿宋" w:hint="eastAsia"/>
          <w:color w:val="000000" w:themeColor="text1"/>
          <w:sz w:val="24"/>
          <w:szCs w:val="24"/>
        </w:rPr>
        <w:t>进行网络</w:t>
      </w:r>
      <w:r>
        <w:rPr>
          <w:rFonts w:ascii="仿宋" w:eastAsia="仿宋" w:hAnsi="仿宋" w:cs="仿宋"/>
          <w:color w:val="000000" w:themeColor="text1"/>
          <w:sz w:val="24"/>
          <w:szCs w:val="24"/>
        </w:rPr>
        <w:t>安全等级保护测评</w:t>
      </w:r>
      <w:r>
        <w:rPr>
          <w:rFonts w:ascii="仿宋" w:eastAsia="仿宋" w:hAnsi="仿宋" w:cs="宋体" w:hint="eastAsia"/>
          <w:color w:val="000000" w:themeColor="text1"/>
          <w:kern w:val="0"/>
          <w:sz w:val="24"/>
          <w:szCs w:val="24"/>
        </w:rPr>
        <w:t>，</w:t>
      </w:r>
      <w:r>
        <w:rPr>
          <w:rFonts w:ascii="仿宋" w:eastAsia="仿宋" w:hAnsi="仿宋" w:cs="宋体"/>
          <w:color w:val="000000" w:themeColor="text1"/>
          <w:kern w:val="0"/>
          <w:sz w:val="24"/>
          <w:szCs w:val="24"/>
        </w:rPr>
        <w:t>以明确信息系统</w:t>
      </w:r>
      <w:r>
        <w:rPr>
          <w:rFonts w:ascii="仿宋" w:eastAsia="仿宋" w:hAnsi="仿宋" w:cs="宋体" w:hint="eastAsia"/>
          <w:color w:val="000000" w:themeColor="text1"/>
          <w:kern w:val="0"/>
          <w:sz w:val="24"/>
          <w:szCs w:val="24"/>
        </w:rPr>
        <w:t>现状</w:t>
      </w:r>
      <w:r>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发现</w:t>
      </w:r>
      <w:r>
        <w:rPr>
          <w:rFonts w:ascii="仿宋" w:eastAsia="仿宋" w:hAnsi="仿宋" w:cs="宋体"/>
          <w:color w:val="000000" w:themeColor="text1"/>
          <w:kern w:val="0"/>
          <w:sz w:val="24"/>
          <w:szCs w:val="24"/>
        </w:rPr>
        <w:t>系统</w:t>
      </w:r>
      <w:r>
        <w:rPr>
          <w:rFonts w:ascii="仿宋" w:eastAsia="仿宋" w:hAnsi="仿宋" w:cs="宋体" w:hint="eastAsia"/>
          <w:color w:val="000000" w:themeColor="text1"/>
          <w:kern w:val="0"/>
          <w:sz w:val="24"/>
          <w:szCs w:val="24"/>
        </w:rPr>
        <w:t>内部</w:t>
      </w:r>
      <w:r>
        <w:rPr>
          <w:rFonts w:ascii="仿宋" w:eastAsia="仿宋" w:hAnsi="仿宋" w:cs="宋体"/>
          <w:color w:val="000000" w:themeColor="text1"/>
          <w:kern w:val="0"/>
          <w:sz w:val="24"/>
          <w:szCs w:val="24"/>
        </w:rPr>
        <w:t>存在的安全隐患和不足，</w:t>
      </w:r>
      <w:r>
        <w:rPr>
          <w:rFonts w:ascii="仿宋" w:eastAsia="仿宋" w:hAnsi="仿宋" w:cs="宋体" w:hint="eastAsia"/>
          <w:color w:val="000000" w:themeColor="text1"/>
          <w:kern w:val="0"/>
          <w:sz w:val="24"/>
          <w:szCs w:val="24"/>
          <w:lang w:eastAsia="zh-Hans"/>
        </w:rPr>
        <w:t>加强网络安全升级</w:t>
      </w:r>
      <w:r>
        <w:rPr>
          <w:rFonts w:ascii="仿宋" w:eastAsia="仿宋" w:hAnsi="仿宋" w:cs="宋体"/>
          <w:color w:val="000000" w:themeColor="text1"/>
          <w:kern w:val="0"/>
          <w:sz w:val="24"/>
          <w:szCs w:val="24"/>
        </w:rPr>
        <w:t>，降低</w:t>
      </w:r>
      <w:r>
        <w:rPr>
          <w:rFonts w:ascii="仿宋" w:eastAsia="仿宋" w:hAnsi="仿宋" w:cs="宋体" w:hint="eastAsia"/>
          <w:color w:val="000000" w:themeColor="text1"/>
          <w:kern w:val="0"/>
          <w:sz w:val="24"/>
          <w:szCs w:val="24"/>
          <w:lang w:eastAsia="zh-Hans"/>
        </w:rPr>
        <w:t>网络安全隐患</w:t>
      </w:r>
      <w:r>
        <w:rPr>
          <w:rFonts w:ascii="仿宋" w:eastAsia="仿宋" w:hAnsi="仿宋" w:cs="宋体" w:hint="eastAsia"/>
          <w:color w:val="000000" w:themeColor="text1"/>
          <w:kern w:val="0"/>
          <w:sz w:val="24"/>
          <w:szCs w:val="24"/>
        </w:rPr>
        <w:t>。</w:t>
      </w:r>
    </w:p>
    <w:p w14:paraId="2AFBCAA1" w14:textId="77777777" w:rsidR="00120107" w:rsidRDefault="009A50EA">
      <w:pPr>
        <w:widowControl/>
        <w:spacing w:line="360" w:lineRule="auto"/>
        <w:ind w:firstLineChars="200" w:firstLine="480"/>
        <w:rPr>
          <w:rFonts w:ascii="仿宋" w:eastAsia="仿宋" w:hAnsi="仿宋" w:cs="楷体_GB2312"/>
          <w:bCs/>
          <w:color w:val="000000" w:themeColor="text1"/>
          <w:kern w:val="0"/>
          <w:sz w:val="24"/>
          <w:szCs w:val="24"/>
        </w:rPr>
      </w:pPr>
      <w:r>
        <w:rPr>
          <w:rFonts w:ascii="仿宋" w:eastAsia="仿宋" w:hAnsi="仿宋" w:cs="楷体_GB2312" w:hint="eastAsia"/>
          <w:bCs/>
          <w:color w:val="000000" w:themeColor="text1"/>
          <w:kern w:val="0"/>
          <w:sz w:val="24"/>
          <w:szCs w:val="24"/>
        </w:rPr>
        <w:t>本次</w:t>
      </w:r>
      <w:r>
        <w:rPr>
          <w:rFonts w:ascii="仿宋" w:eastAsia="仿宋" w:hAnsi="仿宋" w:cs="楷体_GB2312"/>
          <w:bCs/>
          <w:color w:val="000000" w:themeColor="text1"/>
          <w:kern w:val="0"/>
          <w:sz w:val="24"/>
          <w:szCs w:val="24"/>
        </w:rPr>
        <w:t>测评服务预算</w:t>
      </w:r>
      <w:r>
        <w:rPr>
          <w:rFonts w:ascii="仿宋" w:eastAsia="仿宋" w:hAnsi="仿宋" w:cs="楷体_GB2312" w:hint="eastAsia"/>
          <w:bCs/>
          <w:color w:val="000000" w:themeColor="text1"/>
          <w:kern w:val="0"/>
          <w:sz w:val="24"/>
          <w:szCs w:val="24"/>
        </w:rPr>
        <w:t>：</w:t>
      </w:r>
      <w:r>
        <w:rPr>
          <w:rFonts w:ascii="仿宋" w:eastAsia="仿宋" w:hAnsi="仿宋" w:cs="楷体_GB2312" w:hint="eastAsia"/>
          <w:bCs/>
          <w:color w:val="000000" w:themeColor="text1"/>
          <w:kern w:val="0"/>
          <w:sz w:val="24"/>
          <w:szCs w:val="24"/>
          <w:u w:val="single"/>
        </w:rPr>
        <w:t xml:space="preserve">  </w:t>
      </w:r>
      <w:r>
        <w:rPr>
          <w:rFonts w:ascii="仿宋" w:eastAsia="仿宋" w:hAnsi="仿宋" w:cs="楷体_GB2312" w:hint="eastAsia"/>
          <w:bCs/>
          <w:color w:val="000000" w:themeColor="text1"/>
          <w:kern w:val="0"/>
          <w:sz w:val="24"/>
          <w:szCs w:val="24"/>
        </w:rPr>
        <w:t>万元</w:t>
      </w:r>
    </w:p>
    <w:p w14:paraId="18994EC5" w14:textId="77777777" w:rsidR="00120107" w:rsidRDefault="009A50EA">
      <w:pPr>
        <w:spacing w:beforeLines="50" w:before="156" w:afterLines="50" w:after="156" w:line="360" w:lineRule="auto"/>
        <w:ind w:firstLineChars="200" w:firstLine="48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一、本项目</w:t>
      </w:r>
      <w:r>
        <w:rPr>
          <w:rFonts w:ascii="仿宋" w:eastAsia="仿宋" w:hAnsi="仿宋" w:cs="仿宋" w:hint="eastAsia"/>
          <w:b/>
          <w:color w:val="000000" w:themeColor="text1"/>
          <w:sz w:val="24"/>
          <w:szCs w:val="24"/>
          <w:lang w:eastAsia="zh-Hans"/>
        </w:rPr>
        <w:t>服务</w:t>
      </w:r>
      <w:r>
        <w:rPr>
          <w:rFonts w:ascii="仿宋" w:eastAsia="仿宋" w:hAnsi="仿宋" w:cs="仿宋" w:hint="eastAsia"/>
          <w:b/>
          <w:color w:val="000000" w:themeColor="text1"/>
          <w:sz w:val="24"/>
          <w:szCs w:val="24"/>
        </w:rPr>
        <w:t>范围</w:t>
      </w:r>
    </w:p>
    <w:tbl>
      <w:tblPr>
        <w:tblW w:w="7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210"/>
        <w:gridCol w:w="1401"/>
        <w:gridCol w:w="1084"/>
      </w:tblGrid>
      <w:tr w:rsidR="00120107" w14:paraId="27F1B094" w14:textId="77777777">
        <w:trPr>
          <w:trHeight w:val="728"/>
          <w:jc w:val="center"/>
        </w:trPr>
        <w:tc>
          <w:tcPr>
            <w:tcW w:w="698" w:type="dxa"/>
            <w:vAlign w:val="center"/>
          </w:tcPr>
          <w:p w14:paraId="4C6F8B98" w14:textId="77777777" w:rsidR="00120107" w:rsidRDefault="009A50EA">
            <w:pPr>
              <w:spacing w:line="276" w:lineRule="auto"/>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序号</w:t>
            </w:r>
          </w:p>
        </w:tc>
        <w:tc>
          <w:tcPr>
            <w:tcW w:w="4210" w:type="dxa"/>
            <w:vAlign w:val="center"/>
          </w:tcPr>
          <w:p w14:paraId="6E4B309D" w14:textId="77777777" w:rsidR="00120107" w:rsidRDefault="009A50EA">
            <w:pPr>
              <w:spacing w:line="276" w:lineRule="auto"/>
              <w:jc w:val="center"/>
              <w:rPr>
                <w:rFonts w:ascii="仿宋" w:eastAsia="仿宋" w:hAnsi="仿宋" w:cs="仿宋"/>
                <w:b/>
                <w:bCs/>
                <w:color w:val="000000" w:themeColor="text1"/>
                <w:sz w:val="24"/>
                <w:szCs w:val="24"/>
                <w:lang w:eastAsia="zh-Hans"/>
              </w:rPr>
            </w:pPr>
            <w:r>
              <w:rPr>
                <w:rFonts w:ascii="仿宋" w:eastAsia="仿宋" w:hAnsi="仿宋" w:cs="仿宋" w:hint="eastAsia"/>
                <w:b/>
                <w:bCs/>
                <w:color w:val="000000" w:themeColor="text1"/>
                <w:sz w:val="24"/>
                <w:szCs w:val="24"/>
                <w:lang w:eastAsia="zh-Hans"/>
              </w:rPr>
              <w:t>服务内容</w:t>
            </w:r>
          </w:p>
        </w:tc>
        <w:tc>
          <w:tcPr>
            <w:tcW w:w="1401" w:type="dxa"/>
            <w:vAlign w:val="center"/>
          </w:tcPr>
          <w:p w14:paraId="5594F48A" w14:textId="77777777" w:rsidR="00120107" w:rsidRDefault="009A50EA">
            <w:pPr>
              <w:spacing w:line="276" w:lineRule="auto"/>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数量</w:t>
            </w:r>
          </w:p>
        </w:tc>
        <w:tc>
          <w:tcPr>
            <w:tcW w:w="1084" w:type="dxa"/>
            <w:vAlign w:val="center"/>
          </w:tcPr>
          <w:p w14:paraId="4E763590" w14:textId="77777777" w:rsidR="00120107" w:rsidRDefault="009A50EA">
            <w:pPr>
              <w:spacing w:line="276" w:lineRule="auto"/>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备注</w:t>
            </w:r>
          </w:p>
        </w:tc>
      </w:tr>
      <w:tr w:rsidR="00120107" w14:paraId="27D4B756" w14:textId="77777777">
        <w:trPr>
          <w:trHeight w:val="525"/>
          <w:jc w:val="center"/>
        </w:trPr>
        <w:tc>
          <w:tcPr>
            <w:tcW w:w="698" w:type="dxa"/>
            <w:vAlign w:val="center"/>
          </w:tcPr>
          <w:p w14:paraId="7E0FDA61" w14:textId="77777777" w:rsidR="00120107" w:rsidRDefault="00120107">
            <w:pPr>
              <w:pStyle w:val="11"/>
              <w:numPr>
                <w:ilvl w:val="0"/>
                <w:numId w:val="1"/>
              </w:numPr>
              <w:spacing w:line="276" w:lineRule="auto"/>
              <w:ind w:firstLineChars="0"/>
              <w:jc w:val="center"/>
              <w:rPr>
                <w:rFonts w:ascii="仿宋" w:eastAsia="仿宋" w:hAnsi="仿宋" w:cs="仿宋"/>
                <w:color w:val="000000" w:themeColor="text1"/>
                <w:sz w:val="24"/>
                <w:szCs w:val="24"/>
              </w:rPr>
            </w:pPr>
          </w:p>
        </w:tc>
        <w:tc>
          <w:tcPr>
            <w:tcW w:w="4210" w:type="dxa"/>
            <w:vAlign w:val="center"/>
          </w:tcPr>
          <w:p w14:paraId="4139B96B" w14:textId="77777777" w:rsidR="00120107" w:rsidRDefault="009A50EA">
            <w:pPr>
              <w:spacing w:line="276" w:lineRule="auto"/>
              <w:jc w:val="left"/>
              <w:rPr>
                <w:rFonts w:ascii="仿宋" w:eastAsia="仿宋" w:hAnsi="仿宋" w:cs="仿宋"/>
                <w:color w:val="000000" w:themeColor="text1"/>
                <w:sz w:val="24"/>
                <w:szCs w:val="24"/>
                <w:lang w:eastAsia="zh-Hans"/>
              </w:rPr>
            </w:pPr>
            <w:r>
              <w:rPr>
                <w:rFonts w:ascii="仿宋" w:eastAsia="仿宋" w:hAnsi="仿宋" w:cs="仿宋"/>
                <w:color w:val="000000"/>
                <w:kern w:val="0"/>
                <w:sz w:val="22"/>
                <w:lang w:bidi="ar"/>
              </w:rPr>
              <w:t>信息集成平台、数字化医院信息系统、慢病管理系统、互联网医院</w:t>
            </w:r>
          </w:p>
        </w:tc>
        <w:tc>
          <w:tcPr>
            <w:tcW w:w="1401" w:type="dxa"/>
            <w:vAlign w:val="center"/>
          </w:tcPr>
          <w:p w14:paraId="5E8B1336" w14:textId="77777777" w:rsidR="00120107" w:rsidRDefault="009A50EA">
            <w:pPr>
              <w:spacing w:line="276" w:lineRule="auto"/>
              <w:jc w:val="center"/>
              <w:rPr>
                <w:rFonts w:ascii="仿宋" w:eastAsia="仿宋" w:hAnsi="仿宋" w:cs="仿宋"/>
                <w:color w:val="000000" w:themeColor="text1"/>
                <w:sz w:val="24"/>
                <w:szCs w:val="24"/>
              </w:rPr>
            </w:pPr>
            <w:r>
              <w:rPr>
                <w:rFonts w:ascii="仿宋" w:eastAsia="仿宋" w:hAnsi="仿宋" w:cs="仿宋"/>
                <w:color w:val="000000" w:themeColor="text1"/>
                <w:sz w:val="24"/>
                <w:szCs w:val="24"/>
              </w:rPr>
              <w:t>4（</w:t>
            </w:r>
            <w:proofErr w:type="gramStart"/>
            <w:r>
              <w:rPr>
                <w:rFonts w:ascii="仿宋" w:eastAsia="仿宋" w:hAnsi="仿宋" w:cs="仿宋" w:hint="eastAsia"/>
                <w:color w:val="000000" w:themeColor="text1"/>
                <w:sz w:val="24"/>
                <w:szCs w:val="24"/>
              </w:rPr>
              <w:t>个</w:t>
            </w:r>
            <w:proofErr w:type="gramEnd"/>
            <w:r>
              <w:rPr>
                <w:rFonts w:ascii="仿宋" w:eastAsia="仿宋" w:hAnsi="仿宋" w:cs="仿宋"/>
                <w:color w:val="000000" w:themeColor="text1"/>
                <w:sz w:val="24"/>
                <w:szCs w:val="24"/>
              </w:rPr>
              <w:t>）</w:t>
            </w:r>
          </w:p>
        </w:tc>
        <w:tc>
          <w:tcPr>
            <w:tcW w:w="1084" w:type="dxa"/>
            <w:vAlign w:val="center"/>
          </w:tcPr>
          <w:p w14:paraId="186CFA8D" w14:textId="77777777" w:rsidR="00120107" w:rsidRDefault="009A50EA">
            <w:pPr>
              <w:spacing w:line="276" w:lineRule="auto"/>
              <w:rPr>
                <w:rFonts w:ascii="仿宋" w:eastAsia="仿宋" w:hAnsi="仿宋" w:cs="仿宋"/>
                <w:color w:val="000000" w:themeColor="text1"/>
                <w:sz w:val="24"/>
                <w:szCs w:val="24"/>
                <w:lang w:eastAsia="zh-Hans"/>
              </w:rPr>
            </w:pPr>
            <w:r>
              <w:rPr>
                <w:rFonts w:ascii="仿宋" w:eastAsia="仿宋" w:hAnsi="仿宋" w:cs="仿宋" w:hint="eastAsia"/>
                <w:color w:val="000000" w:themeColor="text1"/>
                <w:sz w:val="24"/>
                <w:szCs w:val="24"/>
                <w:lang w:eastAsia="zh-Hans"/>
              </w:rPr>
              <w:t>三级</w:t>
            </w:r>
          </w:p>
        </w:tc>
      </w:tr>
      <w:tr w:rsidR="00120107" w14:paraId="70FDC1F2" w14:textId="77777777">
        <w:trPr>
          <w:trHeight w:val="525"/>
          <w:jc w:val="center"/>
        </w:trPr>
        <w:tc>
          <w:tcPr>
            <w:tcW w:w="698" w:type="dxa"/>
            <w:vAlign w:val="center"/>
          </w:tcPr>
          <w:p w14:paraId="268A15FE" w14:textId="77777777" w:rsidR="00120107" w:rsidRDefault="00120107">
            <w:pPr>
              <w:pStyle w:val="11"/>
              <w:numPr>
                <w:ilvl w:val="0"/>
                <w:numId w:val="1"/>
              </w:numPr>
              <w:spacing w:line="276" w:lineRule="auto"/>
              <w:ind w:firstLineChars="0"/>
              <w:jc w:val="center"/>
              <w:rPr>
                <w:rFonts w:ascii="仿宋" w:eastAsia="仿宋" w:hAnsi="仿宋" w:cs="仿宋"/>
                <w:color w:val="000000" w:themeColor="text1"/>
                <w:sz w:val="24"/>
                <w:szCs w:val="24"/>
              </w:rPr>
            </w:pPr>
          </w:p>
        </w:tc>
        <w:tc>
          <w:tcPr>
            <w:tcW w:w="4210" w:type="dxa"/>
            <w:vAlign w:val="center"/>
          </w:tcPr>
          <w:p w14:paraId="1A7A6A26" w14:textId="77777777" w:rsidR="00120107" w:rsidRDefault="009A50EA">
            <w:pPr>
              <w:spacing w:line="276" w:lineRule="auto"/>
              <w:jc w:val="left"/>
              <w:rPr>
                <w:rFonts w:ascii="仿宋" w:eastAsia="仿宋" w:hAnsi="仿宋" w:cs="仿宋"/>
                <w:color w:val="000000" w:themeColor="text1"/>
                <w:sz w:val="24"/>
                <w:szCs w:val="24"/>
                <w:lang w:eastAsia="zh-Hans"/>
              </w:rPr>
            </w:pPr>
            <w:r>
              <w:rPr>
                <w:rFonts w:ascii="仿宋" w:eastAsia="仿宋" w:hAnsi="仿宋" w:cs="仿宋" w:hint="eastAsia"/>
                <w:color w:val="000000" w:themeColor="text1"/>
                <w:sz w:val="24"/>
                <w:szCs w:val="24"/>
                <w:lang w:eastAsia="zh-Hans"/>
              </w:rPr>
              <w:t>Lis</w:t>
            </w:r>
            <w:r>
              <w:rPr>
                <w:rFonts w:ascii="仿宋" w:eastAsia="仿宋" w:hAnsi="仿宋" w:cs="仿宋" w:hint="eastAsia"/>
                <w:color w:val="000000" w:themeColor="text1"/>
                <w:sz w:val="24"/>
                <w:szCs w:val="24"/>
              </w:rPr>
              <w:t>、</w:t>
            </w:r>
            <w:proofErr w:type="spellStart"/>
            <w:r>
              <w:rPr>
                <w:rFonts w:ascii="仿宋" w:eastAsia="仿宋" w:hAnsi="仿宋" w:cs="仿宋" w:hint="eastAsia"/>
                <w:color w:val="000000" w:themeColor="text1"/>
                <w:sz w:val="24"/>
                <w:szCs w:val="24"/>
                <w:lang w:eastAsia="zh-Hans"/>
              </w:rPr>
              <w:t>pacs</w:t>
            </w:r>
            <w:proofErr w:type="spellEnd"/>
          </w:p>
        </w:tc>
        <w:tc>
          <w:tcPr>
            <w:tcW w:w="1401" w:type="dxa"/>
            <w:vAlign w:val="center"/>
          </w:tcPr>
          <w:p w14:paraId="6546E21C" w14:textId="77777777" w:rsidR="00120107" w:rsidRDefault="009A50EA">
            <w:pPr>
              <w:spacing w:line="276"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r>
              <w:rPr>
                <w:rFonts w:ascii="仿宋" w:eastAsia="仿宋" w:hAnsi="仿宋" w:cs="仿宋"/>
                <w:color w:val="000000" w:themeColor="text1"/>
                <w:sz w:val="24"/>
                <w:szCs w:val="24"/>
              </w:rPr>
              <w:t>（</w:t>
            </w:r>
            <w:proofErr w:type="gramStart"/>
            <w:r>
              <w:rPr>
                <w:rFonts w:ascii="仿宋" w:eastAsia="仿宋" w:hAnsi="仿宋" w:cs="仿宋" w:hint="eastAsia"/>
                <w:color w:val="000000" w:themeColor="text1"/>
                <w:sz w:val="24"/>
                <w:szCs w:val="24"/>
              </w:rPr>
              <w:t>个</w:t>
            </w:r>
            <w:proofErr w:type="gramEnd"/>
            <w:r>
              <w:rPr>
                <w:rFonts w:ascii="仿宋" w:eastAsia="仿宋" w:hAnsi="仿宋" w:cs="仿宋"/>
                <w:color w:val="000000" w:themeColor="text1"/>
                <w:sz w:val="24"/>
                <w:szCs w:val="24"/>
              </w:rPr>
              <w:t>）</w:t>
            </w:r>
          </w:p>
        </w:tc>
        <w:tc>
          <w:tcPr>
            <w:tcW w:w="1084" w:type="dxa"/>
            <w:vAlign w:val="center"/>
          </w:tcPr>
          <w:p w14:paraId="6B5D2FC0" w14:textId="77777777" w:rsidR="00120107" w:rsidRDefault="009A50EA">
            <w:pPr>
              <w:spacing w:line="80" w:lineRule="atLeas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二级</w:t>
            </w:r>
          </w:p>
        </w:tc>
      </w:tr>
    </w:tbl>
    <w:p w14:paraId="52066204" w14:textId="77777777" w:rsidR="00120107" w:rsidRDefault="00120107">
      <w:pPr>
        <w:spacing w:beforeLines="50" w:before="156" w:afterLines="50" w:after="156" w:line="360" w:lineRule="auto"/>
        <w:rPr>
          <w:rFonts w:ascii="仿宋" w:eastAsia="仿宋" w:hAnsi="仿宋" w:cs="仿宋"/>
          <w:b/>
          <w:color w:val="000000" w:themeColor="text1"/>
          <w:sz w:val="24"/>
          <w:szCs w:val="24"/>
        </w:rPr>
      </w:pPr>
    </w:p>
    <w:p w14:paraId="59EB0C18" w14:textId="77777777" w:rsidR="00120107" w:rsidRDefault="009A50EA">
      <w:pPr>
        <w:spacing w:beforeLines="50" w:before="156" w:afterLines="50" w:after="156" w:line="360" w:lineRule="auto"/>
        <w:ind w:firstLineChars="200" w:firstLine="48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二、</w:t>
      </w:r>
      <w:r>
        <w:rPr>
          <w:rFonts w:ascii="仿宋" w:eastAsia="仿宋" w:hAnsi="仿宋" w:cs="仿宋" w:hint="eastAsia"/>
          <w:b/>
          <w:color w:val="000000" w:themeColor="text1"/>
          <w:sz w:val="24"/>
          <w:szCs w:val="24"/>
          <w:lang w:eastAsia="zh-Hans"/>
        </w:rPr>
        <w:t>服务</w:t>
      </w:r>
      <w:r>
        <w:rPr>
          <w:rFonts w:ascii="仿宋" w:eastAsia="仿宋" w:hAnsi="仿宋" w:cs="仿宋" w:hint="eastAsia"/>
          <w:b/>
          <w:color w:val="000000" w:themeColor="text1"/>
          <w:sz w:val="24"/>
          <w:szCs w:val="24"/>
        </w:rPr>
        <w:t>要求</w:t>
      </w:r>
    </w:p>
    <w:p w14:paraId="293BC9FD" w14:textId="77777777" w:rsidR="00120107" w:rsidRDefault="009A50EA">
      <w:pPr>
        <w:spacing w:line="360" w:lineRule="auto"/>
        <w:ind w:firstLineChars="200" w:firstLine="480"/>
        <w:rPr>
          <w:rStyle w:val="a6"/>
          <w:rFonts w:ascii="仿宋" w:eastAsia="仿宋" w:hAnsi="仿宋" w:cstheme="minorBidi"/>
          <w:b w:val="0"/>
          <w:color w:val="000000" w:themeColor="text1"/>
          <w:szCs w:val="24"/>
        </w:rPr>
      </w:pPr>
      <w:r>
        <w:rPr>
          <w:rStyle w:val="a6"/>
          <w:rFonts w:ascii="仿宋" w:eastAsia="仿宋" w:hAnsi="仿宋" w:cstheme="minorBidi" w:hint="eastAsia"/>
          <w:b w:val="0"/>
          <w:color w:val="000000" w:themeColor="text1"/>
          <w:szCs w:val="24"/>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75C0BD82" w14:textId="77777777" w:rsidR="00120107" w:rsidRDefault="009A50EA">
      <w:pPr>
        <w:spacing w:line="360" w:lineRule="auto"/>
        <w:ind w:firstLineChars="200" w:firstLine="480"/>
        <w:rPr>
          <w:rStyle w:val="a6"/>
          <w:rFonts w:ascii="仿宋" w:eastAsia="仿宋" w:hAnsi="仿宋" w:cstheme="minorBidi"/>
          <w:b w:val="0"/>
          <w:color w:val="000000" w:themeColor="text1"/>
          <w:szCs w:val="24"/>
        </w:rPr>
      </w:pPr>
      <w:r>
        <w:rPr>
          <w:rStyle w:val="a6"/>
          <w:rFonts w:ascii="仿宋" w:eastAsia="仿宋" w:hAnsi="仿宋" w:cstheme="minorBidi" w:hint="eastAsia"/>
          <w:b w:val="0"/>
          <w:color w:val="000000" w:themeColor="text1"/>
          <w:szCs w:val="24"/>
        </w:rPr>
        <w:t>2.供应商具有《网络安全等级测评与检测评估机构服务认证证书》，提供证</w:t>
      </w:r>
      <w:r>
        <w:rPr>
          <w:rStyle w:val="a6"/>
          <w:rFonts w:ascii="仿宋" w:eastAsia="仿宋" w:hAnsi="仿宋" w:cstheme="minorBidi" w:hint="eastAsia"/>
          <w:b w:val="0"/>
          <w:color w:val="000000" w:themeColor="text1"/>
          <w:szCs w:val="24"/>
        </w:rPr>
        <w:lastRenderedPageBreak/>
        <w:t>书复印件（加盖公章）；</w:t>
      </w:r>
    </w:p>
    <w:p w14:paraId="7E3312D1" w14:textId="77777777" w:rsidR="00120107" w:rsidRDefault="009A50EA">
      <w:pPr>
        <w:spacing w:line="360" w:lineRule="auto"/>
        <w:ind w:firstLineChars="200" w:firstLine="480"/>
        <w:rPr>
          <w:rStyle w:val="a6"/>
          <w:rFonts w:ascii="仿宋" w:eastAsia="仿宋" w:hAnsi="仿宋" w:cstheme="minorBidi"/>
          <w:b w:val="0"/>
          <w:color w:val="000000" w:themeColor="text1"/>
          <w:szCs w:val="24"/>
        </w:rPr>
      </w:pPr>
      <w:r>
        <w:rPr>
          <w:rStyle w:val="a6"/>
          <w:rFonts w:ascii="仿宋" w:eastAsia="仿宋" w:hAnsi="仿宋" w:cstheme="minorBidi" w:hint="eastAsia"/>
          <w:b w:val="0"/>
          <w:color w:val="000000" w:themeColor="text1"/>
          <w:szCs w:val="24"/>
        </w:rPr>
        <w:t>3.本项目不接受联合体投标。</w:t>
      </w:r>
    </w:p>
    <w:p w14:paraId="0865E007" w14:textId="77777777" w:rsidR="00120107" w:rsidRDefault="00120107">
      <w:pPr>
        <w:pStyle w:val="10"/>
        <w:rPr>
          <w:rStyle w:val="a6"/>
          <w:rFonts w:ascii="仿宋" w:eastAsia="仿宋" w:hAnsi="仿宋" w:cstheme="minorBidi"/>
          <w:b w:val="0"/>
          <w:color w:val="000000" w:themeColor="text1"/>
        </w:rPr>
      </w:pPr>
    </w:p>
    <w:p w14:paraId="47502903" w14:textId="77777777" w:rsidR="00120107" w:rsidRDefault="009A50EA">
      <w:pPr>
        <w:pStyle w:val="10"/>
        <w:rPr>
          <w:rStyle w:val="a6"/>
          <w:rFonts w:ascii="仿宋" w:eastAsia="仿宋" w:hAnsi="仿宋" w:cstheme="minorBidi"/>
          <w:bCs w:val="0"/>
          <w:color w:val="000000" w:themeColor="text1"/>
          <w:lang w:eastAsia="zh-Hans"/>
        </w:rPr>
      </w:pPr>
      <w:r>
        <w:rPr>
          <w:rStyle w:val="a6"/>
          <w:rFonts w:ascii="仿宋" w:eastAsia="仿宋" w:hAnsi="仿宋" w:cstheme="minorBidi" w:hint="eastAsia"/>
          <w:bCs w:val="0"/>
          <w:color w:val="000000" w:themeColor="text1"/>
          <w:lang w:eastAsia="zh-Hans"/>
        </w:rPr>
        <w:t>三</w:t>
      </w:r>
      <w:r>
        <w:rPr>
          <w:rStyle w:val="a6"/>
          <w:rFonts w:ascii="仿宋" w:eastAsia="仿宋" w:hAnsi="仿宋" w:cstheme="minorBidi"/>
          <w:bCs w:val="0"/>
          <w:color w:val="000000" w:themeColor="text1"/>
          <w:lang w:eastAsia="zh-Hans"/>
        </w:rPr>
        <w:t>、</w:t>
      </w:r>
      <w:r>
        <w:rPr>
          <w:rStyle w:val="a6"/>
          <w:rFonts w:ascii="仿宋" w:eastAsia="仿宋" w:hAnsi="仿宋" w:cstheme="minorBidi" w:hint="eastAsia"/>
          <w:bCs w:val="0"/>
          <w:color w:val="000000" w:themeColor="text1"/>
          <w:lang w:eastAsia="zh-Hans"/>
        </w:rPr>
        <w:t>服务内容及要求</w:t>
      </w:r>
    </w:p>
    <w:p w14:paraId="694221F8" w14:textId="77777777" w:rsidR="00120107" w:rsidRDefault="009A50EA">
      <w:pPr>
        <w:spacing w:beforeLines="50" w:before="156" w:afterLines="50" w:after="156" w:line="360" w:lineRule="auto"/>
        <w:ind w:firstLineChars="200" w:firstLine="482"/>
      </w:pPr>
      <w:r>
        <w:rPr>
          <w:rFonts w:ascii="仿宋" w:eastAsia="仿宋" w:hAnsi="仿宋" w:cs="仿宋"/>
          <w:b/>
          <w:color w:val="000000" w:themeColor="text1"/>
          <w:sz w:val="24"/>
          <w:szCs w:val="24"/>
        </w:rPr>
        <w:t>（</w:t>
      </w:r>
      <w:r>
        <w:rPr>
          <w:rFonts w:ascii="仿宋" w:eastAsia="仿宋" w:hAnsi="仿宋" w:cs="仿宋" w:hint="eastAsia"/>
          <w:b/>
          <w:color w:val="000000" w:themeColor="text1"/>
          <w:sz w:val="24"/>
          <w:szCs w:val="24"/>
          <w:lang w:eastAsia="zh-Hans"/>
        </w:rPr>
        <w:t>一</w:t>
      </w:r>
      <w:r>
        <w:rPr>
          <w:rFonts w:ascii="仿宋" w:eastAsia="仿宋" w:hAnsi="仿宋" w:cs="仿宋"/>
          <w:b/>
          <w:color w:val="000000" w:themeColor="text1"/>
          <w:sz w:val="24"/>
          <w:szCs w:val="24"/>
        </w:rPr>
        <w:t>）</w:t>
      </w:r>
      <w:r>
        <w:rPr>
          <w:rFonts w:ascii="仿宋" w:eastAsia="仿宋" w:hAnsi="仿宋" w:cs="仿宋" w:hint="eastAsia"/>
          <w:b/>
          <w:color w:val="000000" w:themeColor="text1"/>
          <w:sz w:val="24"/>
          <w:szCs w:val="24"/>
        </w:rPr>
        <w:t>、测评内容</w:t>
      </w:r>
    </w:p>
    <w:p w14:paraId="291E04AE"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1、总体要求：</w:t>
      </w:r>
    </w:p>
    <w:p w14:paraId="7FA65C07"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A．完成上述系统安全等级测评工作，测评后经用户方确认，出具符合</w:t>
      </w:r>
      <w:r>
        <w:rPr>
          <w:rStyle w:val="a6"/>
          <w:rFonts w:ascii="仿宋" w:eastAsia="仿宋" w:hAnsi="仿宋" w:hint="eastAsia"/>
          <w:b w:val="0"/>
          <w:color w:val="000000" w:themeColor="text1"/>
          <w:szCs w:val="24"/>
        </w:rPr>
        <w:t>网络安全等级保护</w:t>
      </w:r>
      <w:r>
        <w:rPr>
          <w:rFonts w:ascii="仿宋" w:eastAsia="仿宋" w:hAnsi="仿宋" w:cs="仿宋" w:hint="eastAsia"/>
          <w:color w:val="000000" w:themeColor="text1"/>
          <w:sz w:val="24"/>
          <w:szCs w:val="24"/>
        </w:rPr>
        <w:t>测评要求的测评报告；</w:t>
      </w:r>
    </w:p>
    <w:p w14:paraId="2C256A10"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B．对上述系统不符合</w:t>
      </w:r>
      <w:r>
        <w:rPr>
          <w:rStyle w:val="a6"/>
          <w:rFonts w:ascii="仿宋" w:eastAsia="仿宋" w:hAnsi="仿宋" w:hint="eastAsia"/>
          <w:b w:val="0"/>
          <w:color w:val="000000" w:themeColor="text1"/>
          <w:szCs w:val="24"/>
        </w:rPr>
        <w:t>网络安全等级保护</w:t>
      </w:r>
      <w:r>
        <w:rPr>
          <w:rFonts w:ascii="仿宋" w:eastAsia="仿宋" w:hAnsi="仿宋" w:cs="仿宋" w:hint="eastAsia"/>
          <w:color w:val="000000" w:themeColor="text1"/>
          <w:sz w:val="24"/>
          <w:szCs w:val="24"/>
        </w:rPr>
        <w:t>有关管理规范和技术标准的，提出可行性整改方案，提供相应的安全整改建议书。</w:t>
      </w:r>
    </w:p>
    <w:p w14:paraId="3262A27C"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2、质量要求：</w:t>
      </w:r>
    </w:p>
    <w:p w14:paraId="0D002B25"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A．等级测评及服务原则：符合性原则、标准性原则、规范性原则、可控性原则、整体性原则。</w:t>
      </w:r>
    </w:p>
    <w:p w14:paraId="5A83D17A"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B．</w:t>
      </w:r>
      <w:r>
        <w:rPr>
          <w:rStyle w:val="a6"/>
          <w:rFonts w:ascii="仿宋" w:eastAsia="仿宋" w:hAnsi="仿宋" w:hint="eastAsia"/>
          <w:b w:val="0"/>
          <w:color w:val="000000" w:themeColor="text1"/>
          <w:szCs w:val="24"/>
        </w:rPr>
        <w:t>网络安全等级保护</w:t>
      </w:r>
      <w:r>
        <w:rPr>
          <w:rFonts w:ascii="仿宋" w:eastAsia="仿宋" w:hAnsi="仿宋" w:cs="仿宋" w:hint="eastAsia"/>
          <w:color w:val="000000" w:themeColor="text1"/>
          <w:sz w:val="24"/>
          <w:szCs w:val="24"/>
        </w:rPr>
        <w:t>定级及测评服务依据：</w:t>
      </w:r>
    </w:p>
    <w:p w14:paraId="0E082784"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color w:val="000000" w:themeColor="text1"/>
          <w:sz w:val="24"/>
          <w:szCs w:val="24"/>
        </w:rPr>
        <w:t>《</w:t>
      </w:r>
      <w:r>
        <w:rPr>
          <w:rFonts w:ascii="仿宋" w:eastAsia="仿宋" w:hAnsi="仿宋" w:cs="仿宋" w:hint="eastAsia"/>
          <w:color w:val="000000" w:themeColor="text1"/>
          <w:sz w:val="24"/>
          <w:szCs w:val="24"/>
        </w:rPr>
        <w:t>中华人民共和国网络安全法</w:t>
      </w:r>
      <w:r>
        <w:rPr>
          <w:rFonts w:ascii="仿宋" w:eastAsia="仿宋" w:hAnsi="仿宋" w:cs="仿宋"/>
          <w:color w:val="000000" w:themeColor="text1"/>
          <w:sz w:val="24"/>
          <w:szCs w:val="24"/>
        </w:rPr>
        <w:t>》</w:t>
      </w:r>
    </w:p>
    <w:p w14:paraId="69E09F89" w14:textId="77777777" w:rsidR="00120107" w:rsidRDefault="009A50EA">
      <w:pPr>
        <w:spacing w:line="360" w:lineRule="auto"/>
        <w:ind w:firstLineChars="200" w:firstLine="480"/>
        <w:rPr>
          <w:rStyle w:val="a6"/>
          <w:rFonts w:ascii="仿宋" w:eastAsia="仿宋" w:hAnsi="仿宋"/>
          <w:b w:val="0"/>
          <w:color w:val="000000" w:themeColor="text1"/>
          <w:szCs w:val="24"/>
        </w:rPr>
      </w:pPr>
      <w:r>
        <w:rPr>
          <w:rStyle w:val="a6"/>
          <w:rFonts w:ascii="仿宋" w:eastAsia="仿宋" w:hAnsi="仿宋" w:hint="eastAsia"/>
          <w:b w:val="0"/>
          <w:color w:val="000000" w:themeColor="text1"/>
          <w:szCs w:val="24"/>
        </w:rPr>
        <w:t>《GB/T22239-2019信息安全技术 网络安全等级保护基本要求》，</w:t>
      </w:r>
    </w:p>
    <w:p w14:paraId="69552787" w14:textId="77777777" w:rsidR="00120107" w:rsidRDefault="009A50EA">
      <w:pPr>
        <w:spacing w:line="360" w:lineRule="auto"/>
        <w:ind w:firstLineChars="200" w:firstLine="480"/>
        <w:rPr>
          <w:rStyle w:val="a6"/>
          <w:rFonts w:ascii="仿宋" w:eastAsia="仿宋" w:hAnsi="仿宋"/>
          <w:b w:val="0"/>
          <w:color w:val="000000" w:themeColor="text1"/>
          <w:szCs w:val="24"/>
        </w:rPr>
      </w:pPr>
      <w:r>
        <w:rPr>
          <w:rStyle w:val="a6"/>
          <w:rFonts w:ascii="仿宋" w:eastAsia="仿宋" w:hAnsi="仿宋" w:hint="eastAsia"/>
          <w:b w:val="0"/>
          <w:color w:val="000000" w:themeColor="text1"/>
          <w:szCs w:val="24"/>
        </w:rPr>
        <w:t>《GB/T28448-2019 信息安全技术 网络安全等级保护测评要求》，</w:t>
      </w:r>
    </w:p>
    <w:p w14:paraId="02DA614E" w14:textId="77777777" w:rsidR="00120107" w:rsidRDefault="009A50EA">
      <w:pPr>
        <w:spacing w:line="360" w:lineRule="auto"/>
        <w:ind w:firstLineChars="200" w:firstLine="480"/>
        <w:rPr>
          <w:rStyle w:val="a6"/>
          <w:rFonts w:ascii="仿宋" w:eastAsia="仿宋" w:hAnsi="仿宋"/>
          <w:b w:val="0"/>
          <w:color w:val="000000" w:themeColor="text1"/>
          <w:szCs w:val="24"/>
        </w:rPr>
      </w:pPr>
      <w:r>
        <w:rPr>
          <w:rStyle w:val="a6"/>
          <w:rFonts w:ascii="仿宋" w:eastAsia="仿宋" w:hAnsi="仿宋" w:hint="eastAsia"/>
          <w:b w:val="0"/>
          <w:color w:val="000000" w:themeColor="text1"/>
          <w:szCs w:val="24"/>
        </w:rPr>
        <w:t>《GB/T 28449-2018 信息安全技术 网络安全等级保护测评过程指南》，</w:t>
      </w:r>
    </w:p>
    <w:p w14:paraId="0ED39919" w14:textId="77777777" w:rsidR="00120107" w:rsidRDefault="009A50EA">
      <w:pPr>
        <w:spacing w:line="360" w:lineRule="auto"/>
        <w:ind w:firstLineChars="200" w:firstLine="480"/>
        <w:rPr>
          <w:rStyle w:val="a6"/>
          <w:rFonts w:ascii="仿宋" w:eastAsia="仿宋" w:hAnsi="仿宋"/>
          <w:b w:val="0"/>
          <w:color w:val="000000" w:themeColor="text1"/>
          <w:szCs w:val="24"/>
        </w:rPr>
      </w:pPr>
      <w:r>
        <w:rPr>
          <w:rStyle w:val="a6"/>
          <w:rFonts w:ascii="仿宋" w:eastAsia="仿宋" w:hAnsi="仿宋" w:hint="eastAsia"/>
          <w:b w:val="0"/>
          <w:color w:val="000000" w:themeColor="text1"/>
          <w:szCs w:val="24"/>
        </w:rPr>
        <w:t>《GB/T 25058-2019 信息安全技术 网络安全等级保护实施指南》。</w:t>
      </w:r>
    </w:p>
    <w:p w14:paraId="66A50A8E"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3、网络安全等级保护测评内容：</w:t>
      </w:r>
    </w:p>
    <w:p w14:paraId="6492DC73" w14:textId="77777777" w:rsidR="00120107" w:rsidRDefault="009A50EA">
      <w:pPr>
        <w:spacing w:beforeLines="50" w:before="156" w:afterLines="50" w:after="156"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A．安全技术测评：包括安全物理环境、安全区域边界、安全通信网络、安全计算环境和安全管理中心五个方面的安全测评；</w:t>
      </w:r>
    </w:p>
    <w:p w14:paraId="71201312" w14:textId="77777777" w:rsidR="00120107" w:rsidRDefault="009A50EA">
      <w:pPr>
        <w:spacing w:beforeLines="50" w:before="156" w:afterLines="50" w:after="156"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B．安全管理测评：安全管理机构、安全管理制度、安全管理人员、安全建设管理和</w:t>
      </w:r>
      <w:proofErr w:type="gramStart"/>
      <w:r>
        <w:rPr>
          <w:rFonts w:ascii="仿宋" w:eastAsia="仿宋" w:hAnsi="仿宋" w:cs="仿宋" w:hint="eastAsia"/>
          <w:color w:val="000000" w:themeColor="text1"/>
          <w:sz w:val="24"/>
          <w:szCs w:val="24"/>
        </w:rPr>
        <w:t>安全运维管理</w:t>
      </w:r>
      <w:proofErr w:type="gramEnd"/>
      <w:r>
        <w:rPr>
          <w:rFonts w:ascii="仿宋" w:eastAsia="仿宋" w:hAnsi="仿宋" w:cs="仿宋" w:hint="eastAsia"/>
          <w:color w:val="000000" w:themeColor="text1"/>
          <w:sz w:val="24"/>
          <w:szCs w:val="24"/>
        </w:rPr>
        <w:t>五个方面的安全控制测评</w:t>
      </w:r>
    </w:p>
    <w:p w14:paraId="76889DEF" w14:textId="77777777" w:rsidR="00120107" w:rsidRDefault="009A50EA">
      <w:pPr>
        <w:spacing w:beforeLines="50" w:before="156" w:afterLines="50" w:after="156"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4、提供整改咨询服务，根据所测系统的最终测评报告，对系统现状提出安全整改建议并协助整改工作，以期达到整改目的。</w:t>
      </w:r>
    </w:p>
    <w:p w14:paraId="721FD886" w14:textId="77777777" w:rsidR="00120107" w:rsidRDefault="009A50EA">
      <w:pPr>
        <w:spacing w:beforeLines="50" w:before="156" w:afterLines="50" w:after="156" w:line="360" w:lineRule="auto"/>
        <w:ind w:firstLineChars="200" w:firstLine="48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四、测评原则：</w:t>
      </w:r>
    </w:p>
    <w:p w14:paraId="4AC292E0"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1、客观性和公正性原则：</w:t>
      </w:r>
    </w:p>
    <w:p w14:paraId="25898181"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测评人员应当没有偏见，在最小主观判断情形下，按照评估双方相互认可的评估方案，基于明确定义的测评方式和解释，实施评估活动。</w:t>
      </w:r>
    </w:p>
    <w:p w14:paraId="2739FB72"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2、可重复性和</w:t>
      </w:r>
      <w:proofErr w:type="gramStart"/>
      <w:r>
        <w:rPr>
          <w:rFonts w:ascii="仿宋" w:eastAsia="仿宋" w:hAnsi="仿宋" w:cs="仿宋" w:hint="eastAsia"/>
          <w:color w:val="000000" w:themeColor="text1"/>
          <w:sz w:val="24"/>
          <w:szCs w:val="24"/>
        </w:rPr>
        <w:t>可</w:t>
      </w:r>
      <w:proofErr w:type="gramEnd"/>
      <w:r>
        <w:rPr>
          <w:rFonts w:ascii="仿宋" w:eastAsia="仿宋" w:hAnsi="仿宋" w:cs="仿宋" w:hint="eastAsia"/>
          <w:color w:val="000000" w:themeColor="text1"/>
          <w:sz w:val="24"/>
          <w:szCs w:val="24"/>
        </w:rPr>
        <w:t>再现性原则：</w:t>
      </w:r>
    </w:p>
    <w:p w14:paraId="76700620"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42A7DEEE"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3、连续性原则：</w:t>
      </w:r>
    </w:p>
    <w:p w14:paraId="3D201A1E"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1396B995"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4、扩展性原则：</w:t>
      </w:r>
    </w:p>
    <w:p w14:paraId="185A43F3"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在评估过程结束后，信息安全测评过程要保持扩展性，从扩展的属性上进一步加强测评结束后采购方的安全管理有效性和可用性。</w:t>
      </w:r>
    </w:p>
    <w:p w14:paraId="59ED8B4E"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5、保密原则：</w:t>
      </w:r>
    </w:p>
    <w:p w14:paraId="09061ADD"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在测评过程中，需严格遵循保密原则，双方签订保密协议，对服务过程中涉及到的任何用户信息未经允许不向其他任何第三方泄漏，以及不得利用这些信息损害采购方利益。</w:t>
      </w:r>
    </w:p>
    <w:p w14:paraId="4A413680"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6、互动原则：</w:t>
      </w:r>
    </w:p>
    <w:p w14:paraId="42D49867"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在整个测评过程中，强调采购方的互动参与，每个阶段都能够及时根据采购方的要求和实际情况对测评的内容、方式做出相关调整，进而更好的进行风险评估工作。</w:t>
      </w:r>
    </w:p>
    <w:p w14:paraId="70E78154"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7、最小影响原则：</w:t>
      </w:r>
    </w:p>
    <w:p w14:paraId="7C597284"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测评工作应该尽可能小地影响系统和网络的正常运行，不能对业务的正常运行产生明显的影响（包括系统性能明显下降、网络阻塞、服务中断等），如无法避免，则应做出说明。</w:t>
      </w:r>
    </w:p>
    <w:p w14:paraId="0E8B2DAA"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8、规范性原则：</w:t>
      </w:r>
    </w:p>
    <w:p w14:paraId="0C63820B"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网络安全等级保护测评服务的实施必须由专业的测评服务人员依照规范的</w:t>
      </w:r>
      <w:r>
        <w:rPr>
          <w:rFonts w:ascii="仿宋" w:eastAsia="仿宋" w:hAnsi="仿宋" w:cs="仿宋" w:hint="eastAsia"/>
          <w:color w:val="000000" w:themeColor="text1"/>
          <w:sz w:val="24"/>
          <w:szCs w:val="24"/>
        </w:rPr>
        <w:lastRenderedPageBreak/>
        <w:t>操作流程进行，对操作过程和结果要有相应的记录，并提供完整的服务报告。</w:t>
      </w:r>
    </w:p>
    <w:p w14:paraId="608084B6" w14:textId="77777777"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9、质量保障原则：</w:t>
      </w:r>
    </w:p>
    <w:p w14:paraId="3D70141B" w14:textId="6C42DC4F" w:rsidR="00120107" w:rsidRDefault="009A50E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在整个测评过程中，须特别重视项目质量管理。项目的实施将严格按照项目实施方案和流程进行，并由项目协调小组从中监督，控制项目的进度和质量。</w:t>
      </w:r>
    </w:p>
    <w:p w14:paraId="5C0ABB68" w14:textId="22C47699" w:rsidR="00AE50D1" w:rsidRDefault="00AE50D1" w:rsidP="00AE50D1">
      <w:pPr>
        <w:pStyle w:val="2"/>
      </w:pPr>
    </w:p>
    <w:p w14:paraId="6606A20C" w14:textId="65313398" w:rsidR="00AE50D1" w:rsidRPr="00AE50D1" w:rsidRDefault="00AE50D1" w:rsidP="00AE50D1">
      <w:pPr>
        <w:pStyle w:val="2"/>
        <w:ind w:leftChars="0" w:left="0" w:firstLineChars="0" w:firstLine="0"/>
        <w:rPr>
          <w:rFonts w:ascii="仿宋" w:eastAsia="仿宋" w:hAnsi="仿宋" w:cs="仿宋" w:hint="eastAsia"/>
          <w:b/>
          <w:color w:val="000000" w:themeColor="text1"/>
          <w:sz w:val="24"/>
          <w:szCs w:val="24"/>
        </w:rPr>
      </w:pPr>
      <w:r w:rsidRPr="00AE50D1">
        <w:rPr>
          <w:rFonts w:ascii="仿宋" w:eastAsia="仿宋" w:hAnsi="仿宋" w:cs="仿宋" w:hint="eastAsia"/>
          <w:b/>
          <w:color w:val="000000" w:themeColor="text1"/>
          <w:sz w:val="24"/>
          <w:szCs w:val="24"/>
        </w:rPr>
        <w:t>五、预算2</w:t>
      </w:r>
      <w:r w:rsidRPr="00AE50D1">
        <w:rPr>
          <w:rFonts w:ascii="仿宋" w:eastAsia="仿宋" w:hAnsi="仿宋" w:cs="仿宋"/>
          <w:b/>
          <w:color w:val="000000" w:themeColor="text1"/>
          <w:sz w:val="24"/>
          <w:szCs w:val="24"/>
        </w:rPr>
        <w:t>8</w:t>
      </w:r>
      <w:r w:rsidRPr="00AE50D1">
        <w:rPr>
          <w:rFonts w:ascii="仿宋" w:eastAsia="仿宋" w:hAnsi="仿宋" w:cs="仿宋" w:hint="eastAsia"/>
          <w:b/>
          <w:color w:val="000000" w:themeColor="text1"/>
          <w:sz w:val="24"/>
          <w:szCs w:val="24"/>
        </w:rPr>
        <w:t>万</w:t>
      </w:r>
    </w:p>
    <w:sectPr w:rsidR="00AE50D1" w:rsidRPr="00AE5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00"/>
    <w:family w:val="auto"/>
    <w:pitch w:val="default"/>
  </w:font>
  <w:font w:name="楷体_GB2312">
    <w:altName w:val="楷体"/>
    <w:charset w:val="00"/>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747"/>
    <w:multiLevelType w:val="multilevel"/>
    <w:tmpl w:val="135E37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lhNDMwMzM0NTFmMmM0OGE0N2E3MTMxYzk1ODBjYzIifQ=="/>
  </w:docVars>
  <w:rsids>
    <w:rsidRoot w:val="4F04607F"/>
    <w:rsid w:val="DBFD7644"/>
    <w:rsid w:val="EFFAE6E9"/>
    <w:rsid w:val="F57D1497"/>
    <w:rsid w:val="00120107"/>
    <w:rsid w:val="004904B9"/>
    <w:rsid w:val="005A086E"/>
    <w:rsid w:val="009A50EA"/>
    <w:rsid w:val="00AE50D1"/>
    <w:rsid w:val="0FF7B1EC"/>
    <w:rsid w:val="2A70148A"/>
    <w:rsid w:val="32454109"/>
    <w:rsid w:val="3CC60684"/>
    <w:rsid w:val="492E30D3"/>
    <w:rsid w:val="4F04607F"/>
    <w:rsid w:val="67BFF0E7"/>
    <w:rsid w:val="6CA064A3"/>
    <w:rsid w:val="73FD16DA"/>
    <w:rsid w:val="7C4D121D"/>
    <w:rsid w:val="7EB63F34"/>
    <w:rsid w:val="7EBC2173"/>
    <w:rsid w:val="ADFFF11D"/>
    <w:rsid w:val="BAC8E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21A0A"/>
  <w15:docId w15:val="{4A0E1DA6-0715-4A7D-9CF4-E9756C56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4">
    <w:name w:val="Normal (Web)"/>
    <w:basedOn w:val="a"/>
    <w:qFormat/>
    <w:rPr>
      <w:sz w:val="24"/>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1"/>
    <w:basedOn w:val="a"/>
    <w:qFormat/>
    <w:pPr>
      <w:spacing w:line="360" w:lineRule="auto"/>
      <w:ind w:firstLine="361"/>
    </w:pPr>
    <w:rPr>
      <w:rFonts w:ascii="宋体" w:hAnsi="宋体"/>
      <w:szCs w:val="24"/>
    </w:rPr>
  </w:style>
  <w:style w:type="paragraph" w:customStyle="1" w:styleId="11">
    <w:name w:val="列表段落1"/>
    <w:basedOn w:val="a"/>
    <w:uiPriority w:val="99"/>
    <w:qFormat/>
    <w:pPr>
      <w:ind w:firstLineChars="200" w:firstLine="420"/>
    </w:pPr>
  </w:style>
  <w:style w:type="character" w:customStyle="1" w:styleId="a6">
    <w:name w:val="样式 小四 加粗"/>
    <w:basedOn w:val="a0"/>
    <w:qFormat/>
    <w:rPr>
      <w:rFonts w:eastAsia="黑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肉兔兔</dc:creator>
  <cp:lastModifiedBy>Blizzard</cp:lastModifiedBy>
  <cp:revision>4</cp:revision>
  <dcterms:created xsi:type="dcterms:W3CDTF">2023-09-22T05:48:00Z</dcterms:created>
  <dcterms:modified xsi:type="dcterms:W3CDTF">2023-09-22T07:47:00Z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F52056BBC09A4858BFD42E5C9FFEDB52</vt:lpwstr>
  </property>
</Properties>
</file>