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华文仿宋" w:hAnsi="华文仿宋" w:eastAsia="华文仿宋"/>
          <w:b/>
          <w:sz w:val="44"/>
          <w:szCs w:val="44"/>
        </w:rPr>
      </w:pPr>
      <w:r>
        <w:rPr>
          <w:rFonts w:hint="eastAsia" w:ascii="华文仿宋" w:hAnsi="华文仿宋" w:eastAsia="华文仿宋"/>
          <w:b/>
          <w:sz w:val="44"/>
          <w:szCs w:val="44"/>
        </w:rPr>
        <w:t>桌面终端安全管理</w:t>
      </w:r>
      <w:bookmarkStart w:id="5" w:name="_GoBack"/>
      <w:bookmarkEnd w:id="5"/>
      <w:r>
        <w:rPr>
          <w:rFonts w:hint="eastAsia" w:ascii="华文仿宋" w:hAnsi="华文仿宋" w:eastAsia="华文仿宋"/>
          <w:b/>
          <w:sz w:val="44"/>
          <w:szCs w:val="44"/>
        </w:rPr>
        <w:t>项目需求</w:t>
      </w:r>
    </w:p>
    <w:p>
      <w:pPr>
        <w:outlineLvl w:val="0"/>
        <w:rPr>
          <w:rFonts w:ascii="华文仿宋" w:hAnsi="华文仿宋" w:eastAsia="华文仿宋"/>
          <w:b/>
          <w:sz w:val="32"/>
          <w:szCs w:val="32"/>
        </w:rPr>
      </w:pPr>
      <w:r>
        <w:rPr>
          <w:rFonts w:hint="eastAsia" w:ascii="华文仿宋" w:hAnsi="华文仿宋" w:eastAsia="华文仿宋"/>
          <w:b/>
          <w:sz w:val="32"/>
          <w:szCs w:val="32"/>
        </w:rPr>
        <w:t>一、基本介绍</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目前医院信息化建设程度很高，但网络与信息安全风险问题也随之而来。专用</w:t>
      </w:r>
      <w:r>
        <w:rPr>
          <w:rFonts w:hint="eastAsia" w:ascii="华文仿宋" w:hAnsi="华文仿宋" w:eastAsia="华文仿宋"/>
          <w:sz w:val="28"/>
          <w:szCs w:val="28"/>
          <w:lang w:eastAsia="zh-Hans"/>
        </w:rPr>
        <w:t>网络</w:t>
      </w:r>
      <w:r>
        <w:rPr>
          <w:rFonts w:hint="eastAsia" w:ascii="华文仿宋" w:hAnsi="华文仿宋" w:eastAsia="华文仿宋"/>
          <w:sz w:val="28"/>
          <w:szCs w:val="28"/>
        </w:rPr>
        <w:t>和终端的安全性也面临着勒索病毒等最新型病毒的威胁，一旦出现黑客攻击、数据窃取等事件，将有可能造成治安管理失控、敏感信息泄漏等后果，严重危害社会稳定。本院意识到内网安全建设存在薄弱点，需要看清内网安全状况并溯源问题，而且要发现问题后，保障本院网络安全处于全天候安全健康稳定状态。</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针对以上所述亟待解决的问题，从终端设备病毒防护、漏洞检测、攻击事件闭环等方面综合考虑，急需医院网络前端接入安全防护的整体解决方案。</w:t>
      </w:r>
      <w:r>
        <w:rPr>
          <w:rFonts w:ascii="华文仿宋" w:hAnsi="华文仿宋" w:eastAsia="华文仿宋"/>
          <w:sz w:val="28"/>
          <w:szCs w:val="28"/>
        </w:rPr>
        <w:t xml:space="preserve"> </w:t>
      </w:r>
    </w:p>
    <w:p>
      <w:pPr>
        <w:spacing w:before="312" w:beforeLines="100" w:line="360" w:lineRule="auto"/>
        <w:outlineLvl w:val="0"/>
        <w:rPr>
          <w:rFonts w:ascii="华文仿宋" w:hAnsi="华文仿宋" w:eastAsia="华文仿宋"/>
          <w:b/>
          <w:sz w:val="32"/>
          <w:szCs w:val="32"/>
        </w:rPr>
      </w:pPr>
      <w:r>
        <w:rPr>
          <w:rFonts w:hint="eastAsia" w:ascii="华文仿宋" w:hAnsi="华文仿宋" w:eastAsia="华文仿宋"/>
          <w:b/>
          <w:sz w:val="32"/>
          <w:szCs w:val="32"/>
        </w:rPr>
        <w:t>二、项目需求</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总体实现：通过在内网终端上部署终端检测与响应系统，除了具有杀毒功能以外，还具有微隔离和补丁功能，可以及时阻止问题机器发包并封锁端口，防止病毒在内网中蔓延扩散。</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基于以上安全建设现状及实际需求，本院将围绕终端资产安全生命周期，通过预防、防御、检测、响应赋予终端更为细致的隔离策略、更为精准的查杀能力、更为持续的检测能力、更为快速的处置能力。在应对高级威胁的同时，快速处置终端安全问题，构建轻量级、智能化、响应快的终端安全系统。</w:t>
      </w:r>
    </w:p>
    <w:p>
      <w:pPr>
        <w:spacing w:before="312" w:beforeLines="100" w:line="360" w:lineRule="auto"/>
        <w:outlineLvl w:val="0"/>
        <w:rPr>
          <w:rFonts w:ascii="华文仿宋" w:hAnsi="华文仿宋" w:eastAsia="华文仿宋"/>
          <w:b/>
          <w:sz w:val="32"/>
          <w:szCs w:val="32"/>
        </w:rPr>
      </w:pPr>
      <w:r>
        <w:rPr>
          <w:rFonts w:hint="eastAsia" w:ascii="华文仿宋" w:hAnsi="华文仿宋" w:eastAsia="华文仿宋"/>
          <w:b/>
          <w:sz w:val="32"/>
          <w:szCs w:val="32"/>
        </w:rPr>
        <w:t>三、功能模块</w:t>
      </w:r>
    </w:p>
    <w:p>
      <w:pPr>
        <w:keepNext/>
        <w:keepLines/>
        <w:widowControl/>
        <w:spacing w:before="40" w:line="360" w:lineRule="auto"/>
        <w:jc w:val="left"/>
        <w:outlineLvl w:val="2"/>
        <w:rPr>
          <w:rFonts w:ascii="华文仿宋" w:hAnsi="华文仿宋" w:eastAsia="华文仿宋"/>
          <w:b/>
          <w:sz w:val="28"/>
          <w:szCs w:val="28"/>
        </w:rPr>
      </w:pPr>
      <w:bookmarkStart w:id="0" w:name="_Toc89355381"/>
      <w:r>
        <w:rPr>
          <w:rFonts w:ascii="华文仿宋" w:hAnsi="华文仿宋" w:eastAsia="华文仿宋"/>
          <w:b/>
          <w:sz w:val="28"/>
          <w:szCs w:val="28"/>
        </w:rPr>
        <w:t>3.</w:t>
      </w:r>
      <w:r>
        <w:rPr>
          <w:rFonts w:hint="eastAsia" w:ascii="华文仿宋" w:hAnsi="华文仿宋" w:eastAsia="华文仿宋"/>
          <w:b/>
          <w:sz w:val="28"/>
          <w:szCs w:val="28"/>
        </w:rPr>
        <w:t>1</w:t>
      </w:r>
      <w:bookmarkEnd w:id="0"/>
      <w:r>
        <w:rPr>
          <w:rFonts w:hint="eastAsia" w:ascii="华文仿宋" w:hAnsi="华文仿宋" w:eastAsia="华文仿宋"/>
          <w:b/>
          <w:sz w:val="28"/>
          <w:szCs w:val="28"/>
        </w:rPr>
        <w:t>终端资产的全面管理</w:t>
      </w:r>
    </w:p>
    <w:p>
      <w:pPr>
        <w:keepNext/>
        <w:keepLines/>
        <w:widowControl/>
        <w:spacing w:before="40" w:line="360" w:lineRule="auto"/>
        <w:ind w:firstLine="560" w:firstLineChars="200"/>
        <w:jc w:val="left"/>
        <w:outlineLvl w:val="2"/>
        <w:rPr>
          <w:rFonts w:ascii="华文仿宋" w:hAnsi="华文仿宋" w:eastAsia="华文仿宋"/>
          <w:bCs/>
          <w:sz w:val="28"/>
          <w:szCs w:val="28"/>
        </w:rPr>
      </w:pPr>
      <w:bookmarkStart w:id="1" w:name="_Toc89355382"/>
      <w:r>
        <w:rPr>
          <w:rFonts w:hint="eastAsia" w:ascii="华文仿宋" w:hAnsi="华文仿宋" w:eastAsia="华文仿宋"/>
          <w:bCs/>
          <w:sz w:val="28"/>
          <w:szCs w:val="28"/>
        </w:rPr>
        <w:t>全网终端资产的全面盘点，包含业务服务器的终端和用户 PC 的终端。盘点每台终端设备的名称、IP 地址、MAC 地址、所属组织、责任人、资产编号、资产位置等。每一台的终端上的资产信息清晰，每一个安全事件责任到人，使得安全管理能落实到位。</w:t>
      </w:r>
    </w:p>
    <w:p>
      <w:pPr>
        <w:keepNext/>
        <w:keepLines/>
        <w:widowControl/>
        <w:spacing w:before="40" w:line="360" w:lineRule="auto"/>
        <w:jc w:val="left"/>
        <w:outlineLvl w:val="2"/>
        <w:rPr>
          <w:rFonts w:ascii="华文仿宋" w:hAnsi="华文仿宋" w:eastAsia="华文仿宋"/>
          <w:b/>
          <w:sz w:val="28"/>
          <w:szCs w:val="28"/>
        </w:rPr>
      </w:pPr>
      <w:r>
        <w:rPr>
          <w:rFonts w:ascii="华文仿宋" w:hAnsi="华文仿宋" w:eastAsia="华文仿宋"/>
          <w:b/>
          <w:sz w:val="28"/>
          <w:szCs w:val="28"/>
        </w:rPr>
        <w:t>3.2</w:t>
      </w:r>
      <w:bookmarkEnd w:id="1"/>
      <w:r>
        <w:rPr>
          <w:rFonts w:hint="eastAsia" w:ascii="华文仿宋" w:hAnsi="华文仿宋" w:eastAsia="华文仿宋"/>
          <w:b/>
          <w:sz w:val="28"/>
          <w:szCs w:val="28"/>
        </w:rPr>
        <w:t xml:space="preserve">勒索病毒的实时防御  </w:t>
      </w:r>
    </w:p>
    <w:p>
      <w:pPr>
        <w:widowControl/>
        <w:spacing w:after="160" w:line="360" w:lineRule="auto"/>
        <w:jc w:val="left"/>
        <w:rPr>
          <w:rFonts w:ascii="华文仿宋" w:hAnsi="华文仿宋" w:eastAsia="华文仿宋"/>
          <w:sz w:val="28"/>
          <w:szCs w:val="28"/>
        </w:rPr>
      </w:pPr>
      <w:r>
        <w:rPr>
          <w:rFonts w:hint="eastAsia" w:ascii="华文仿宋" w:hAnsi="华文仿宋" w:eastAsia="华文仿宋"/>
          <w:sz w:val="28"/>
          <w:szCs w:val="28"/>
        </w:rPr>
        <w:tab/>
      </w:r>
      <w:r>
        <w:rPr>
          <w:rFonts w:hint="eastAsia" w:ascii="华文仿宋" w:hAnsi="华文仿宋" w:eastAsia="华文仿宋"/>
          <w:sz w:val="28"/>
          <w:szCs w:val="28"/>
        </w:rPr>
        <w:t xml:space="preserve"> 勒索病毒通过加密文件的方式，要求中招者支持一定数额的赎金。这种攻击方式越来越流行，每天都有客户反馈中招。 EDR 能够非常精准的识别不同的勒索软件家族，并通过专业分析识别出种种勒索病毒感染行为和加密特征，对最新的勒索软件进行有效的查杀，防止用户感染最新的勒索软件。</w:t>
      </w:r>
    </w:p>
    <w:p>
      <w:pPr>
        <w:keepNext/>
        <w:keepLines/>
        <w:widowControl/>
        <w:spacing w:before="40" w:line="360" w:lineRule="auto"/>
        <w:jc w:val="left"/>
        <w:outlineLvl w:val="2"/>
        <w:rPr>
          <w:rFonts w:ascii="华文仿宋" w:hAnsi="华文仿宋" w:eastAsia="华文仿宋"/>
          <w:b/>
          <w:sz w:val="28"/>
          <w:szCs w:val="28"/>
        </w:rPr>
      </w:pPr>
      <w:bookmarkStart w:id="2" w:name="_Toc89355383"/>
      <w:r>
        <w:rPr>
          <w:rFonts w:ascii="华文仿宋" w:hAnsi="华文仿宋" w:eastAsia="华文仿宋"/>
          <w:b/>
          <w:sz w:val="28"/>
          <w:szCs w:val="28"/>
        </w:rPr>
        <w:t>3.</w:t>
      </w:r>
      <w:r>
        <w:rPr>
          <w:rFonts w:hint="eastAsia" w:ascii="华文仿宋" w:hAnsi="华文仿宋" w:eastAsia="华文仿宋"/>
          <w:b/>
          <w:sz w:val="28"/>
          <w:szCs w:val="28"/>
        </w:rPr>
        <w:t>3</w:t>
      </w:r>
      <w:bookmarkEnd w:id="2"/>
      <w:r>
        <w:rPr>
          <w:rFonts w:hint="eastAsia" w:ascii="华文仿宋" w:hAnsi="华文仿宋" w:eastAsia="华文仿宋"/>
          <w:b/>
          <w:sz w:val="28"/>
          <w:szCs w:val="28"/>
        </w:rPr>
        <w:t>入侵攻击的主动检测</w:t>
      </w:r>
    </w:p>
    <w:p>
      <w:pPr>
        <w:widowControl/>
        <w:spacing w:after="160"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终端主机被入侵攻击，导致感染勒索病毒或者挖矿病毒，其中大部分攻击是通过暴力破解的弱口令攻击产生的。的 EDR 主动检测暴力破解行为，并对发现攻击行为的 IP 进行封堵响应。针对 Web 安全攻击行为，则主动检测 Web 后门的文件。针对僵尸网络的攻击，则根据僵尸网络的活跃行为，快速定位僵尸网络文件，并进行一键查杀。</w:t>
      </w:r>
    </w:p>
    <w:p>
      <w:pPr>
        <w:keepNext/>
        <w:keepLines/>
        <w:widowControl/>
        <w:spacing w:before="40" w:line="360" w:lineRule="auto"/>
        <w:jc w:val="left"/>
        <w:outlineLvl w:val="2"/>
        <w:rPr>
          <w:rFonts w:ascii="华文仿宋" w:hAnsi="华文仿宋" w:eastAsia="华文仿宋"/>
          <w:b/>
          <w:sz w:val="28"/>
          <w:szCs w:val="28"/>
        </w:rPr>
      </w:pPr>
      <w:bookmarkStart w:id="3" w:name="_Toc89355384"/>
      <w:r>
        <w:rPr>
          <w:rFonts w:ascii="华文仿宋" w:hAnsi="华文仿宋" w:eastAsia="华文仿宋"/>
          <w:b/>
          <w:sz w:val="28"/>
          <w:szCs w:val="28"/>
        </w:rPr>
        <w:t>3.</w:t>
      </w:r>
      <w:r>
        <w:rPr>
          <w:rFonts w:hint="eastAsia" w:ascii="华文仿宋" w:hAnsi="华文仿宋" w:eastAsia="华文仿宋"/>
          <w:b/>
          <w:sz w:val="28"/>
          <w:szCs w:val="28"/>
        </w:rPr>
        <w:t>4</w:t>
      </w:r>
      <w:bookmarkEnd w:id="3"/>
      <w:r>
        <w:rPr>
          <w:rFonts w:hint="eastAsia" w:ascii="华文仿宋" w:hAnsi="华文仿宋" w:eastAsia="华文仿宋"/>
          <w:b/>
          <w:sz w:val="28"/>
          <w:szCs w:val="28"/>
        </w:rPr>
        <w:t xml:space="preserve">热点事件的快速响应  </w:t>
      </w:r>
    </w:p>
    <w:p>
      <w:pPr>
        <w:widowControl/>
        <w:spacing w:after="160"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安全云脑通过全球的大数据安全分析，提供热点事件的 IOC 情报，推送情报数据给 EDR 产品。EDR 产品能根据 IOC 情报数据快速的全网威胁定位分析，及时发现和响应最新的热点事件，并且根据历史行为数据进行溯源分析，避免组织受到安全事件的通报。</w:t>
      </w:r>
    </w:p>
    <w:p>
      <w:pPr>
        <w:keepNext/>
        <w:keepLines/>
        <w:widowControl/>
        <w:spacing w:before="40" w:line="360" w:lineRule="auto"/>
        <w:jc w:val="left"/>
        <w:outlineLvl w:val="2"/>
        <w:rPr>
          <w:rFonts w:ascii="华文仿宋" w:hAnsi="华文仿宋" w:eastAsia="华文仿宋"/>
          <w:b/>
          <w:sz w:val="28"/>
          <w:szCs w:val="28"/>
        </w:rPr>
      </w:pPr>
      <w:bookmarkStart w:id="4" w:name="_Toc89355385"/>
      <w:r>
        <w:rPr>
          <w:rFonts w:ascii="华文仿宋" w:hAnsi="华文仿宋" w:eastAsia="华文仿宋"/>
          <w:b/>
          <w:sz w:val="28"/>
          <w:szCs w:val="28"/>
        </w:rPr>
        <w:t>3.</w:t>
      </w:r>
      <w:r>
        <w:rPr>
          <w:rFonts w:hint="eastAsia" w:ascii="华文仿宋" w:hAnsi="华文仿宋" w:eastAsia="华文仿宋"/>
          <w:b/>
          <w:sz w:val="28"/>
          <w:szCs w:val="28"/>
        </w:rPr>
        <w:t xml:space="preserve">5 </w:t>
      </w:r>
      <w:bookmarkEnd w:id="4"/>
      <w:r>
        <w:rPr>
          <w:rFonts w:hint="eastAsia" w:ascii="华文仿宋" w:hAnsi="华文仿宋" w:eastAsia="华文仿宋"/>
          <w:b/>
          <w:sz w:val="28"/>
          <w:szCs w:val="28"/>
        </w:rPr>
        <w:t>访问关系的策略控制</w:t>
      </w:r>
    </w:p>
    <w:p>
      <w:pPr>
        <w:widowControl/>
        <w:spacing w:after="160" w:line="360" w:lineRule="auto"/>
        <w:ind w:firstLine="560" w:firstLineChars="200"/>
        <w:jc w:val="left"/>
      </w:pPr>
      <w:r>
        <w:rPr>
          <w:rFonts w:hint="eastAsia" w:ascii="华文仿宋" w:hAnsi="华文仿宋" w:eastAsia="华文仿宋"/>
          <w:sz w:val="28"/>
          <w:szCs w:val="28"/>
        </w:rPr>
        <w:t>当前各种感染性病毒大部分都是通过网络进行传播，从而导致大范围内的终端中招，影响范围较广。EDR的微隔离支持网络访问关系策略的配置，可以实现业务域之间或者终端之间的网络隔离，从源头上杜绝病毒的传播，减少用户的损失，进一步保证终端的安全。</w:t>
      </w:r>
    </w:p>
    <w:p>
      <w:pPr>
        <w:spacing w:before="156" w:beforeLines="50" w:line="360" w:lineRule="auto"/>
        <w:outlineLvl w:val="0"/>
        <w:rPr>
          <w:rFonts w:ascii="华文仿宋" w:hAnsi="华文仿宋" w:eastAsia="华文仿宋"/>
          <w:b/>
          <w:sz w:val="32"/>
          <w:szCs w:val="32"/>
        </w:rPr>
      </w:pPr>
      <w:r>
        <w:rPr>
          <w:rFonts w:hint="eastAsia" w:ascii="华文仿宋" w:hAnsi="华文仿宋" w:eastAsia="华文仿宋"/>
          <w:b/>
          <w:sz w:val="32"/>
          <w:szCs w:val="32"/>
        </w:rPr>
        <w:t>四、技术参数</w:t>
      </w:r>
    </w:p>
    <w:tbl>
      <w:tblPr>
        <w:tblStyle w:val="2"/>
        <w:tblW w:w="0" w:type="auto"/>
        <w:tblInd w:w="-5" w:type="dxa"/>
        <w:tblLayout w:type="autofit"/>
        <w:tblCellMar>
          <w:top w:w="0" w:type="dxa"/>
          <w:left w:w="108" w:type="dxa"/>
          <w:bottom w:w="0" w:type="dxa"/>
          <w:right w:w="108" w:type="dxa"/>
        </w:tblCellMar>
      </w:tblPr>
      <w:tblGrid>
        <w:gridCol w:w="1418"/>
        <w:gridCol w:w="6883"/>
      </w:tblGrid>
      <w:tr>
        <w:tblPrEx>
          <w:tblCellMar>
            <w:top w:w="0" w:type="dxa"/>
            <w:left w:w="108" w:type="dxa"/>
            <w:bottom w:w="0" w:type="dxa"/>
            <w:right w:w="108" w:type="dxa"/>
          </w:tblCellMar>
        </w:tblPrEx>
        <w:trPr>
          <w:trHeight w:val="3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4"/>
              </w:rPr>
            </w:pPr>
            <w:r>
              <w:rPr>
                <w:rFonts w:hint="eastAsia" w:ascii="仿宋" w:hAnsi="仿宋" w:eastAsia="仿宋" w:cs="仿宋"/>
                <w:b/>
                <w:color w:val="000000"/>
                <w:szCs w:val="24"/>
              </w:rPr>
              <w:t>技术指标</w:t>
            </w:r>
          </w:p>
        </w:tc>
        <w:tc>
          <w:tcPr>
            <w:tcW w:w="68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4"/>
              </w:rPr>
            </w:pPr>
            <w:r>
              <w:rPr>
                <w:rFonts w:hint="eastAsia" w:ascii="仿宋" w:hAnsi="仿宋" w:eastAsia="仿宋" w:cs="仿宋"/>
                <w:b/>
                <w:color w:val="000000"/>
                <w:szCs w:val="24"/>
              </w:rPr>
              <w:t>具体参数</w:t>
            </w:r>
          </w:p>
        </w:tc>
      </w:tr>
      <w:tr>
        <w:tblPrEx>
          <w:tblCellMar>
            <w:top w:w="0" w:type="dxa"/>
            <w:left w:w="108" w:type="dxa"/>
            <w:bottom w:w="0" w:type="dxa"/>
            <w:right w:w="108" w:type="dxa"/>
          </w:tblCellMar>
        </w:tblPrEx>
        <w:trPr>
          <w:trHeight w:val="380" w:hRule="atLeast"/>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产品形态</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产品可以纯软件交付，包含管理控制中心软件及终端客户端软件，其中管理控制中心可云化部署；</w:t>
            </w: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本次配置≥800套PC版终端检测响应软件授权</w:t>
            </w:r>
          </w:p>
        </w:tc>
      </w:tr>
      <w:tr>
        <w:tblPrEx>
          <w:tblCellMar>
            <w:top w:w="0" w:type="dxa"/>
            <w:left w:w="108" w:type="dxa"/>
            <w:bottom w:w="0" w:type="dxa"/>
            <w:right w:w="108" w:type="dxa"/>
          </w:tblCellMar>
        </w:tblPrEx>
        <w:trPr>
          <w:trHeight w:val="380" w:hRule="atLeast"/>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管理控制中心要求</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要求环境：CPU≥4核，内存≥8G，硬盘≥1TB；</w:t>
            </w: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单一管理控制中心可统一管理分别部署在WindowsPC、Windows服务器、Linux服务器以及国产化服务器的客户端软件</w:t>
            </w:r>
          </w:p>
        </w:tc>
      </w:tr>
      <w:tr>
        <w:tblPrEx>
          <w:tblCellMar>
            <w:top w:w="0" w:type="dxa"/>
            <w:left w:w="108" w:type="dxa"/>
            <w:bottom w:w="0" w:type="dxa"/>
            <w:right w:w="108" w:type="dxa"/>
          </w:tblCellMar>
        </w:tblPrEx>
        <w:trPr>
          <w:trHeight w:val="38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Windows PC 客户端支持</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Windows XP/Windows Vista/Windows 7/Windows 8/Windows 8.1/Windows 10/Windows 11</w:t>
            </w:r>
          </w:p>
        </w:tc>
      </w:tr>
      <w:tr>
        <w:tblPrEx>
          <w:tblCellMar>
            <w:top w:w="0" w:type="dxa"/>
            <w:left w:w="108" w:type="dxa"/>
            <w:bottom w:w="0" w:type="dxa"/>
            <w:right w:w="108" w:type="dxa"/>
          </w:tblCellMar>
        </w:tblPrEx>
        <w:trPr>
          <w:trHeight w:val="76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国产化终端管控</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支持管控国产化操作系统终端，下发基本策略，配置病毒查杀、实时防护、桌面管控等策略，处理国产化终端发生的威胁事件。</w:t>
            </w:r>
          </w:p>
        </w:tc>
      </w:tr>
      <w:tr>
        <w:tblPrEx>
          <w:tblCellMar>
            <w:top w:w="0" w:type="dxa"/>
            <w:left w:w="108" w:type="dxa"/>
            <w:bottom w:w="0" w:type="dxa"/>
            <w:right w:w="108" w:type="dxa"/>
          </w:tblCellMar>
        </w:tblPrEx>
        <w:trPr>
          <w:trHeight w:val="760" w:hRule="atLeast"/>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威胁展示</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支持全网风险展示，包括但不限于未处理的勒索病毒数量、高级威胁、暴力破解、僵尸网络、WebShell后门、高危漏洞及其各自影响的终端数量</w:t>
            </w:r>
          </w:p>
        </w:tc>
      </w:tr>
      <w:tr>
        <w:tblPrEx>
          <w:tblCellMar>
            <w:top w:w="0" w:type="dxa"/>
            <w:left w:w="108" w:type="dxa"/>
            <w:bottom w:w="0" w:type="dxa"/>
            <w:right w:w="108" w:type="dxa"/>
          </w:tblCellMar>
        </w:tblPrEx>
        <w:trPr>
          <w:trHeight w:val="760"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★支持跳转链接至云端威胁情报中心，针对已发生的威胁提供详细的分析结果，包含威胁分析、网络行为、静态分析、分析环境和影响分析。（需提供产品截图证明 ）</w:t>
            </w:r>
          </w:p>
        </w:tc>
      </w:tr>
      <w:tr>
        <w:tblPrEx>
          <w:tblCellMar>
            <w:top w:w="0" w:type="dxa"/>
            <w:left w:w="108" w:type="dxa"/>
            <w:bottom w:w="0" w:type="dxa"/>
            <w:right w:w="108" w:type="dxa"/>
          </w:tblCellMar>
        </w:tblPrEx>
        <w:trPr>
          <w:trHeight w:val="760" w:hRule="atLeast"/>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资产管理</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支持全网视角的终端资产统一清点，便于帮助用户快速发现风险面。清点信息包括操作系统、应用软件、监听端口和终端账户，其中操作系统和监听端口支持从资产和终端两个视角进行统计和展示。</w:t>
            </w:r>
          </w:p>
        </w:tc>
      </w:tr>
      <w:tr>
        <w:tblPrEx>
          <w:tblCellMar>
            <w:top w:w="0" w:type="dxa"/>
            <w:left w:w="108" w:type="dxa"/>
            <w:bottom w:w="0" w:type="dxa"/>
            <w:right w:w="108" w:type="dxa"/>
          </w:tblCellMar>
        </w:tblPrEx>
        <w:trPr>
          <w:trHeight w:val="760" w:hRule="atLeast"/>
        </w:trPr>
        <w:tc>
          <w:tcPr>
            <w:tcW w:w="141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支持收集并展示单个终端的软件信息，包括软件名称、软件类型、软件版本、所属厂商、软件安装路径以及安装时间</w:t>
            </w:r>
          </w:p>
        </w:tc>
      </w:tr>
      <w:tr>
        <w:tblPrEx>
          <w:tblCellMar>
            <w:top w:w="0" w:type="dxa"/>
            <w:left w:w="108" w:type="dxa"/>
            <w:bottom w:w="0" w:type="dxa"/>
            <w:right w:w="108" w:type="dxa"/>
          </w:tblCellMar>
        </w:tblPrEx>
        <w:trPr>
          <w:trHeight w:val="1140"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需提供产品截图证明 ）</w:t>
            </w:r>
          </w:p>
        </w:tc>
      </w:tr>
      <w:tr>
        <w:tblPrEx>
          <w:tblCellMar>
            <w:top w:w="0" w:type="dxa"/>
            <w:left w:w="108" w:type="dxa"/>
            <w:bottom w:w="0" w:type="dxa"/>
            <w:right w:w="108" w:type="dxa"/>
          </w:tblCellMar>
        </w:tblPrEx>
        <w:trPr>
          <w:trHeight w:val="359" w:hRule="atLeast"/>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系统维护</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支持对在线终端下发实时通知消息</w:t>
            </w:r>
          </w:p>
        </w:tc>
      </w:tr>
      <w:tr>
        <w:tblPrEx>
          <w:tblCellMar>
            <w:top w:w="0" w:type="dxa"/>
            <w:left w:w="108" w:type="dxa"/>
            <w:bottom w:w="0" w:type="dxa"/>
            <w:right w:w="108" w:type="dxa"/>
          </w:tblCellMar>
        </w:tblPrEx>
        <w:trPr>
          <w:trHeight w:val="90"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★支持客户端的错峰升级，可根据实际情况控制客户端同时升级的最大数量，避免大量终端程序同时更新造成网络拥堵或I/O风暴（需提供产品截图证明 ）</w:t>
            </w:r>
          </w:p>
        </w:tc>
      </w:tr>
      <w:tr>
        <w:tblPrEx>
          <w:tblCellMar>
            <w:top w:w="0" w:type="dxa"/>
            <w:left w:w="108" w:type="dxa"/>
            <w:bottom w:w="0" w:type="dxa"/>
            <w:right w:w="108" w:type="dxa"/>
          </w:tblCellMar>
        </w:tblPrEx>
        <w:trPr>
          <w:trHeight w:val="760" w:hRule="atLeast"/>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威胁防御</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通过智能识别终端环境情况（低配硬件、老旧设备、桌面虚拟化等）和当前终端资源占用，在闲时实时监控和病毒扫描场景，都可智能调整终端检测响应软件的资源占用（CPU、IO等），为业务让出资源，不卡业务，对业务零摩擦。（需提供产品截图证明 ）</w:t>
            </w:r>
          </w:p>
        </w:tc>
      </w:tr>
      <w:tr>
        <w:tblPrEx>
          <w:tblCellMar>
            <w:top w:w="0" w:type="dxa"/>
            <w:left w:w="108" w:type="dxa"/>
            <w:bottom w:w="0" w:type="dxa"/>
            <w:right w:w="108" w:type="dxa"/>
          </w:tblCellMar>
        </w:tblPrEx>
        <w:trPr>
          <w:trHeight w:val="760" w:hRule="atLeast"/>
        </w:trPr>
        <w:tc>
          <w:tcPr>
            <w:tcW w:w="141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具备基于本地缓存信誉检测与全网信誉检测，构建全网信誉库的检测引擎，做到内网一台威胁，全网感知并进行针对性查杀，支持处置病毒时选择是否在其它终端上同步处置有效提升查杀效率，减少终端资源开销</w:t>
            </w: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支持对zip， rar， jar， cab， 7z等常见压缩文件的扫描检测，支持压缩文件层级进行策略配置，最大可配置检查10层压缩文件</w:t>
            </w:r>
          </w:p>
        </w:tc>
      </w:tr>
      <w:tr>
        <w:tblPrEx>
          <w:tblCellMar>
            <w:top w:w="0" w:type="dxa"/>
            <w:left w:w="108" w:type="dxa"/>
            <w:bottom w:w="0" w:type="dxa"/>
            <w:right w:w="108" w:type="dxa"/>
          </w:tblCellMar>
        </w:tblPrEx>
        <w:trPr>
          <w:trHeight w:val="760" w:hRule="atLeast"/>
        </w:trPr>
        <w:tc>
          <w:tcPr>
            <w:tcW w:w="141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具备针对最新未知的文件，使用IOC特征（文件hash、dns、url、ip等）的技术，进行云端查询。云端的安全中心，使用大数据分析平台，基于多维威胁情报、云端沙箱技术、多引擎扩展的检测技术等，秒级响应未知文件的检测结果，构架公有云云查体系</w:t>
            </w: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b/>
                <w:bCs/>
                <w:color w:val="000000"/>
                <w:kern w:val="0"/>
                <w:szCs w:val="24"/>
              </w:rPr>
            </w:pPr>
          </w:p>
        </w:tc>
        <w:tc>
          <w:tcPr>
            <w:tcW w:w="68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支持一键云鉴定服务，提供云端专家+沙箱+多引擎鉴定能力，结合云端威胁情报对已告警的威胁文件再次进行综合研判并给出100%黑白结果，用户可自助对管理平台告警的威胁快速判断是否误报和了解威胁详情。（需提供产品截图证明 ）</w:t>
            </w: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★基于勒索病毒攻击过程，建立多维度立体防护机制，提供事前入侵防御-事中反加密-事后检测响应的完整防护体系，展示勒索病毒处置情况，对勒索病毒及变种实现专门有效防御（需提供产品截图证明 ）</w:t>
            </w:r>
          </w:p>
        </w:tc>
      </w:tr>
      <w:tr>
        <w:tblPrEx>
          <w:tblCellMar>
            <w:top w:w="0" w:type="dxa"/>
            <w:left w:w="108" w:type="dxa"/>
            <w:bottom w:w="0" w:type="dxa"/>
            <w:right w:w="108" w:type="dxa"/>
          </w:tblCellMar>
        </w:tblPrEx>
        <w:trPr>
          <w:trHeight w:val="557"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支持对Windows停更的系统提供专项防护，包括0day漏洞防护、文件防护、暴破入侵防护、系统脆弱点识别和风险端口封堵等多项核心功能；</w:t>
            </w:r>
          </w:p>
        </w:tc>
      </w:tr>
      <w:tr>
        <w:tblPrEx>
          <w:tblCellMar>
            <w:top w:w="0" w:type="dxa"/>
            <w:left w:w="108" w:type="dxa"/>
            <w:bottom w:w="0" w:type="dxa"/>
            <w:right w:w="108" w:type="dxa"/>
          </w:tblCellMar>
        </w:tblPrEx>
        <w:trPr>
          <w:trHeight w:val="380" w:hRule="atLeast"/>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补丁管理</w:t>
            </w:r>
          </w:p>
        </w:tc>
        <w:tc>
          <w:tcPr>
            <w:tcW w:w="6883" w:type="dxa"/>
            <w:tcBorders>
              <w:top w:val="nil"/>
              <w:left w:val="nil"/>
              <w:bottom w:val="single" w:color="auto" w:sz="4" w:space="0"/>
              <w:right w:val="single" w:color="auto" w:sz="4" w:space="0"/>
            </w:tcBorders>
            <w:shd w:val="clear" w:color="auto" w:fill="auto"/>
          </w:tcPr>
          <w:p>
            <w:pPr>
              <w:widowControl/>
              <w:jc w:val="left"/>
              <w:rPr>
                <w:rFonts w:ascii="仿宋" w:hAnsi="仿宋" w:eastAsia="仿宋" w:cs="仿宋"/>
                <w:color w:val="000000"/>
                <w:kern w:val="0"/>
                <w:szCs w:val="24"/>
              </w:rPr>
            </w:pPr>
            <w:r>
              <w:rPr>
                <w:rFonts w:hint="eastAsia" w:ascii="仿宋" w:hAnsi="仿宋" w:eastAsia="仿宋" w:cs="仿宋"/>
                <w:szCs w:val="24"/>
              </w:rPr>
              <w:t>支持对Windows终端的漏洞情况进行扫描，并查看漏洞具体情况及KB号，并显示具体修复情况</w:t>
            </w: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szCs w:val="24"/>
              </w:rPr>
              <w:t>★支持流行Windows高危漏洞的轻补丁免疫防御，支持Windows补丁批量一键修复</w:t>
            </w:r>
            <w:r>
              <w:rPr>
                <w:rFonts w:hint="eastAsia" w:ascii="仿宋" w:hAnsi="仿宋" w:eastAsia="仿宋" w:cs="仿宋"/>
                <w:color w:val="000000"/>
                <w:kern w:val="0"/>
                <w:szCs w:val="24"/>
              </w:rPr>
              <w:t>（需提供产品截图证明 ）</w:t>
            </w:r>
          </w:p>
        </w:tc>
      </w:tr>
      <w:tr>
        <w:tblPrEx>
          <w:tblCellMar>
            <w:top w:w="0" w:type="dxa"/>
            <w:left w:w="108" w:type="dxa"/>
            <w:bottom w:w="0" w:type="dxa"/>
            <w:right w:w="108" w:type="dxa"/>
          </w:tblCellMar>
        </w:tblPrEx>
        <w:trPr>
          <w:trHeight w:val="760" w:hRule="atLeast"/>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轻桌管</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szCs w:val="24"/>
              </w:rPr>
              <w:t>支持应用管控功能，内置常用的系统应用，包括IM、下载工具、代理工具、办公软件等。并且支持新增自定义识别应用。帮助客户限制盗版、恶意软件使用，加强客户正版软件配置规范建设，事前拦截终端进程运行，事中可结束终端应用的运行，事后可审计进程管控日志。</w:t>
            </w:r>
          </w:p>
        </w:tc>
      </w:tr>
      <w:tr>
        <w:tblPrEx>
          <w:tblCellMar>
            <w:top w:w="0" w:type="dxa"/>
            <w:left w:w="108" w:type="dxa"/>
            <w:bottom w:w="0" w:type="dxa"/>
            <w:right w:w="108" w:type="dxa"/>
          </w:tblCellMar>
        </w:tblPrEx>
        <w:trPr>
          <w:trHeight w:val="760"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szCs w:val="24"/>
              </w:rPr>
              <w:t>支持屏幕水印功能，提供一种溯源追溯手段，敏感信息泄露后可以通过水印信息快速做到溯源。</w:t>
            </w:r>
          </w:p>
        </w:tc>
      </w:tr>
      <w:tr>
        <w:tblPrEx>
          <w:tblCellMar>
            <w:top w:w="0" w:type="dxa"/>
            <w:left w:w="108" w:type="dxa"/>
            <w:bottom w:w="0" w:type="dxa"/>
            <w:right w:w="108" w:type="dxa"/>
          </w:tblCellMar>
        </w:tblPrEx>
        <w:trPr>
          <w:trHeight w:val="760" w:hRule="atLeast"/>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产品及厂商资质</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提供公安部网络安全保卫局颁发的《计算机信息系统安全专用产品销售许可证》</w:t>
            </w:r>
          </w:p>
        </w:tc>
      </w:tr>
      <w:tr>
        <w:tblPrEx>
          <w:tblCellMar>
            <w:top w:w="0" w:type="dxa"/>
            <w:left w:w="108" w:type="dxa"/>
            <w:bottom w:w="0" w:type="dxa"/>
            <w:right w:w="108" w:type="dxa"/>
          </w:tblCellMar>
        </w:tblPrEx>
        <w:trPr>
          <w:trHeight w:val="380"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厂商需是国家信息安全漏洞库CNNVD一级技术支撑单位；</w:t>
            </w:r>
          </w:p>
        </w:tc>
      </w:tr>
      <w:tr>
        <w:tblPrEx>
          <w:tblCellMar>
            <w:top w:w="0" w:type="dxa"/>
            <w:left w:w="108" w:type="dxa"/>
            <w:bottom w:w="0" w:type="dxa"/>
            <w:right w:w="108" w:type="dxa"/>
          </w:tblCellMar>
        </w:tblPrEx>
        <w:trPr>
          <w:trHeight w:val="380"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4"/>
              </w:rPr>
            </w:pP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4"/>
              </w:rPr>
            </w:pPr>
            <w:r>
              <w:rPr>
                <w:rFonts w:hint="eastAsia" w:ascii="仿宋" w:hAnsi="仿宋" w:eastAsia="仿宋" w:cs="仿宋"/>
                <w:color w:val="000000"/>
                <w:kern w:val="0"/>
                <w:szCs w:val="24"/>
              </w:rPr>
              <w:t>提供终端检测响应软件所使用检测引擎入围VirusTotal平台的资质证明</w:t>
            </w:r>
          </w:p>
        </w:tc>
      </w:tr>
    </w:tbl>
    <w:p/>
    <w:p>
      <w:pPr>
        <w:spacing w:before="312" w:beforeLines="100" w:line="360" w:lineRule="auto"/>
        <w:outlineLvl w:val="0"/>
        <w:rPr>
          <w:rFonts w:ascii="华文仿宋" w:hAnsi="华文仿宋" w:eastAsia="华文仿宋"/>
          <w:b/>
          <w:sz w:val="32"/>
          <w:szCs w:val="32"/>
        </w:rPr>
      </w:pPr>
      <w:r>
        <w:rPr>
          <w:rFonts w:hint="eastAsia" w:ascii="华文仿宋" w:hAnsi="华文仿宋" w:eastAsia="华文仿宋"/>
          <w:b/>
          <w:sz w:val="32"/>
          <w:szCs w:val="32"/>
        </w:rPr>
        <w:t>五、功能简介</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86"/>
        <w:gridCol w:w="1976"/>
        <w:gridCol w:w="52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序号</w:t>
            </w:r>
          </w:p>
        </w:tc>
        <w:tc>
          <w:tcPr>
            <w:tcW w:w="1976" w:type="dxa"/>
            <w:vAlign w:val="center"/>
          </w:tcPr>
          <w:p>
            <w:pPr>
              <w:jc w:val="center"/>
              <w:rPr>
                <w:rFonts w:ascii="仿宋" w:hAnsi="仿宋" w:eastAsia="仿宋" w:cs="仿宋"/>
                <w:b/>
                <w:sz w:val="22"/>
                <w:szCs w:val="28"/>
              </w:rPr>
            </w:pPr>
            <w:r>
              <w:rPr>
                <w:rFonts w:hint="eastAsia" w:ascii="仿宋" w:hAnsi="仿宋" w:eastAsia="仿宋" w:cs="仿宋"/>
                <w:b/>
                <w:sz w:val="22"/>
                <w:szCs w:val="28"/>
              </w:rPr>
              <w:t>功能简介</w:t>
            </w:r>
          </w:p>
        </w:tc>
        <w:tc>
          <w:tcPr>
            <w:tcW w:w="5245" w:type="dxa"/>
            <w:vAlign w:val="center"/>
          </w:tcPr>
          <w:p>
            <w:pPr>
              <w:jc w:val="center"/>
              <w:rPr>
                <w:rFonts w:ascii="仿宋" w:hAnsi="仿宋" w:eastAsia="仿宋" w:cs="仿宋"/>
                <w:b/>
                <w:sz w:val="22"/>
                <w:szCs w:val="28"/>
              </w:rPr>
            </w:pPr>
            <w:r>
              <w:rPr>
                <w:rFonts w:hint="eastAsia" w:ascii="仿宋" w:hAnsi="仿宋" w:eastAsia="仿宋" w:cs="仿宋"/>
                <w:b/>
                <w:sz w:val="22"/>
                <w:szCs w:val="28"/>
              </w:rPr>
              <w:t>功能描述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1</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人工智能检测</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通过高维度特征查杀文件检测率达到99.7，多类分类检测率达到90.3%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2</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网端联动闭环</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网络端设备发现终端威胁，自动化告知EDR检测平台对终端进行处置。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3</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终端肃杀</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一台发现威胁，全网威胁感知，并且在网络中所有终端中查杀相同病毒文件，做到终端肃杀，片甲不留。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4</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勒索诱饵</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通过在系统关键目录及随机目录放置诱饵文件，当诱饵文件被加密时立马启动应急机制，阻止加密进程，查杀病毒安源文件。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5</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端点安全的立体可视和发现</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通过EDR控制中心对全网终端进行多维度高效管理，使全网终端风险可视，终端流量关系可视，终端资产可控，资产责任人可追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6</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云端行为监控沙箱</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基于用户态和内核态行为监控技术以及异常行为识别引擎，可提供文件动态鉴定、流量IoC提取、恶意行为记录能力。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7</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多维度漏斗型检测框架</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通过多维度漏斗型检测框架有效提升检测效率，轻量化终端资源消耗，通过包括人工智能检测引擎，安全云脑检测引擎等多维度引擎对全文件进行有效查杀。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8</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终端闭环</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根据Gartner四阶段模型，定义了在预防、组织、检测、响应各阶段共12个关键功能来有效保护终端安全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9</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微隔离</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利用应用角色之间的主机流量访问控制的技术，提供对业务安全域之间、业务安全域内不同应用角色之间、业务安全域内相同应用角色之间的访问控制策略配置，提供简单可视化的安全访问策略配置，提高了安全管理的效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986" w:type="dxa"/>
            <w:vAlign w:val="center"/>
          </w:tcPr>
          <w:p>
            <w:pPr>
              <w:jc w:val="center"/>
              <w:rPr>
                <w:rFonts w:ascii="仿宋" w:hAnsi="仿宋" w:eastAsia="仿宋" w:cs="仿宋"/>
                <w:b/>
                <w:sz w:val="22"/>
                <w:szCs w:val="28"/>
              </w:rPr>
            </w:pPr>
            <w:r>
              <w:rPr>
                <w:rFonts w:hint="eastAsia" w:ascii="仿宋" w:hAnsi="仿宋" w:eastAsia="仿宋" w:cs="仿宋"/>
                <w:b/>
                <w:sz w:val="22"/>
                <w:szCs w:val="28"/>
              </w:rPr>
              <w:t>10</w:t>
            </w:r>
          </w:p>
        </w:tc>
        <w:tc>
          <w:tcPr>
            <w:tcW w:w="1976" w:type="dxa"/>
            <w:vAlign w:val="center"/>
          </w:tcPr>
          <w:p>
            <w:pPr>
              <w:rPr>
                <w:rFonts w:ascii="仿宋" w:hAnsi="仿宋" w:eastAsia="仿宋" w:cs="仿宋"/>
                <w:sz w:val="22"/>
                <w:szCs w:val="28"/>
              </w:rPr>
            </w:pPr>
            <w:r>
              <w:rPr>
                <w:rFonts w:hint="eastAsia" w:ascii="仿宋" w:hAnsi="仿宋" w:eastAsia="仿宋" w:cs="仿宋"/>
                <w:sz w:val="22"/>
                <w:szCs w:val="28"/>
              </w:rPr>
              <w:t>动态安全边界</w:t>
            </w:r>
          </w:p>
        </w:tc>
        <w:tc>
          <w:tcPr>
            <w:tcW w:w="5245" w:type="dxa"/>
            <w:vAlign w:val="center"/>
          </w:tcPr>
          <w:p>
            <w:pPr>
              <w:rPr>
                <w:rFonts w:ascii="仿宋" w:hAnsi="仿宋" w:eastAsia="仿宋" w:cs="仿宋"/>
                <w:sz w:val="22"/>
                <w:szCs w:val="28"/>
              </w:rPr>
            </w:pPr>
            <w:r>
              <w:rPr>
                <w:rFonts w:hint="eastAsia" w:ascii="仿宋" w:hAnsi="仿宋" w:eastAsia="仿宋" w:cs="仿宋"/>
                <w:sz w:val="22"/>
                <w:szCs w:val="28"/>
              </w:rPr>
              <w:t>创新微隔离技术架构于主机防火墙之上，致力解决病毒东西向、横向移动和内网扩散和处置问题，提出了一种基于安全域应用角色之间的流量访问控制的系统解决方方案，提供全面基于主机应用角色之间的访问控制，做到可视化的安全访问策略配置，简单高效地对应用服务之间访问进行隔离技术实现。</w:t>
            </w:r>
          </w:p>
        </w:tc>
      </w:tr>
    </w:tbl>
    <w:p/>
    <w:p>
      <w:pPr>
        <w:spacing w:before="312" w:beforeLines="100" w:line="360" w:lineRule="auto"/>
        <w:outlineLvl w:val="0"/>
        <w:rPr>
          <w:rFonts w:ascii="华文仿宋" w:hAnsi="华文仿宋" w:eastAsia="华文仿宋"/>
          <w:b/>
          <w:sz w:val="32"/>
          <w:szCs w:val="32"/>
        </w:rPr>
      </w:pPr>
      <w:r>
        <w:rPr>
          <w:rFonts w:hint="eastAsia" w:ascii="华文仿宋" w:hAnsi="华文仿宋" w:eastAsia="华文仿宋"/>
          <w:b/>
          <w:sz w:val="32"/>
          <w:szCs w:val="32"/>
        </w:rPr>
        <w:t>六、项目预算</w:t>
      </w:r>
    </w:p>
    <w:tbl>
      <w:tblPr>
        <w:tblStyle w:val="3"/>
        <w:tblW w:w="83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24"/>
        <w:gridCol w:w="3040"/>
        <w:gridCol w:w="1418"/>
        <w:gridCol w:w="1559"/>
        <w:gridCol w:w="14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24" w:type="dxa"/>
            <w:vAlign w:val="center"/>
          </w:tcPr>
          <w:p>
            <w:pPr>
              <w:jc w:val="center"/>
              <w:rPr>
                <w:rFonts w:ascii="华文仿宋" w:hAnsi="华文仿宋" w:eastAsia="华文仿宋"/>
                <w:b/>
                <w:sz w:val="28"/>
                <w:szCs w:val="28"/>
              </w:rPr>
            </w:pPr>
            <w:r>
              <w:rPr>
                <w:rFonts w:hint="eastAsia" w:ascii="华文仿宋" w:hAnsi="华文仿宋" w:eastAsia="华文仿宋"/>
                <w:b/>
                <w:sz w:val="28"/>
                <w:szCs w:val="28"/>
              </w:rPr>
              <w:t>序号</w:t>
            </w:r>
          </w:p>
        </w:tc>
        <w:tc>
          <w:tcPr>
            <w:tcW w:w="3040" w:type="dxa"/>
            <w:vAlign w:val="center"/>
          </w:tcPr>
          <w:p>
            <w:pPr>
              <w:jc w:val="center"/>
              <w:rPr>
                <w:rFonts w:ascii="华文仿宋" w:hAnsi="华文仿宋" w:eastAsia="华文仿宋"/>
                <w:b/>
                <w:sz w:val="28"/>
                <w:szCs w:val="28"/>
              </w:rPr>
            </w:pPr>
            <w:r>
              <w:rPr>
                <w:rFonts w:hint="eastAsia" w:ascii="华文仿宋" w:hAnsi="华文仿宋" w:eastAsia="华文仿宋"/>
                <w:b/>
                <w:sz w:val="28"/>
                <w:szCs w:val="28"/>
              </w:rPr>
              <w:t>设备名称</w:t>
            </w:r>
          </w:p>
        </w:tc>
        <w:tc>
          <w:tcPr>
            <w:tcW w:w="1418" w:type="dxa"/>
            <w:vAlign w:val="center"/>
          </w:tcPr>
          <w:p>
            <w:pPr>
              <w:jc w:val="center"/>
              <w:rPr>
                <w:rFonts w:ascii="华文仿宋" w:hAnsi="华文仿宋" w:eastAsia="华文仿宋"/>
                <w:b/>
                <w:sz w:val="28"/>
                <w:szCs w:val="28"/>
              </w:rPr>
            </w:pPr>
            <w:r>
              <w:rPr>
                <w:rFonts w:hint="eastAsia" w:ascii="华文仿宋" w:hAnsi="华文仿宋" w:eastAsia="华文仿宋"/>
                <w:b/>
                <w:sz w:val="28"/>
                <w:szCs w:val="28"/>
              </w:rPr>
              <w:t>单位（套）</w:t>
            </w:r>
          </w:p>
        </w:tc>
        <w:tc>
          <w:tcPr>
            <w:tcW w:w="1559" w:type="dxa"/>
            <w:vAlign w:val="center"/>
          </w:tcPr>
          <w:p>
            <w:pPr>
              <w:jc w:val="center"/>
              <w:rPr>
                <w:rFonts w:ascii="华文仿宋" w:hAnsi="华文仿宋" w:eastAsia="华文仿宋"/>
                <w:b/>
                <w:sz w:val="28"/>
                <w:szCs w:val="28"/>
              </w:rPr>
            </w:pPr>
            <w:r>
              <w:rPr>
                <w:rFonts w:hint="eastAsia" w:ascii="华文仿宋" w:hAnsi="华文仿宋" w:eastAsia="华文仿宋"/>
                <w:b/>
                <w:sz w:val="28"/>
                <w:szCs w:val="28"/>
              </w:rPr>
              <w:t>单价</w:t>
            </w:r>
          </w:p>
          <w:p>
            <w:pPr>
              <w:jc w:val="center"/>
              <w:rPr>
                <w:rFonts w:ascii="华文仿宋" w:hAnsi="华文仿宋" w:eastAsia="华文仿宋"/>
                <w:b/>
                <w:sz w:val="28"/>
                <w:szCs w:val="28"/>
              </w:rPr>
            </w:pPr>
            <w:r>
              <w:rPr>
                <w:rFonts w:hint="eastAsia" w:ascii="华文仿宋" w:hAnsi="华文仿宋" w:eastAsia="华文仿宋"/>
                <w:b/>
                <w:sz w:val="28"/>
                <w:szCs w:val="28"/>
              </w:rPr>
              <w:t>（万元）</w:t>
            </w:r>
          </w:p>
        </w:tc>
        <w:tc>
          <w:tcPr>
            <w:tcW w:w="1418" w:type="dxa"/>
            <w:vAlign w:val="center"/>
          </w:tcPr>
          <w:p>
            <w:pPr>
              <w:jc w:val="center"/>
              <w:rPr>
                <w:rFonts w:ascii="华文仿宋" w:hAnsi="华文仿宋" w:eastAsia="华文仿宋"/>
                <w:b/>
                <w:sz w:val="28"/>
                <w:szCs w:val="28"/>
              </w:rPr>
            </w:pPr>
            <w:r>
              <w:rPr>
                <w:rFonts w:hint="eastAsia" w:ascii="华文仿宋" w:hAnsi="华文仿宋" w:eastAsia="华文仿宋"/>
                <w:b/>
                <w:sz w:val="28"/>
                <w:szCs w:val="28"/>
              </w:rPr>
              <w:t>总价</w:t>
            </w:r>
          </w:p>
          <w:p>
            <w:pPr>
              <w:jc w:val="center"/>
              <w:rPr>
                <w:rFonts w:ascii="华文仿宋" w:hAnsi="华文仿宋" w:eastAsia="华文仿宋"/>
                <w:b/>
                <w:sz w:val="28"/>
                <w:szCs w:val="28"/>
              </w:rPr>
            </w:pPr>
            <w:r>
              <w:rPr>
                <w:rFonts w:hint="eastAsia" w:ascii="华文仿宋" w:hAnsi="华文仿宋" w:eastAsia="华文仿宋"/>
                <w:b/>
                <w:sz w:val="28"/>
                <w:szCs w:val="28"/>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924"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1</w:t>
            </w:r>
          </w:p>
        </w:tc>
        <w:tc>
          <w:tcPr>
            <w:tcW w:w="3040" w:type="dxa"/>
            <w:vAlign w:val="center"/>
          </w:tcPr>
          <w:p>
            <w:pPr>
              <w:jc w:val="center"/>
              <w:rPr>
                <w:rFonts w:ascii="华文仿宋" w:hAnsi="华文仿宋" w:eastAsia="华文仿宋"/>
                <w:sz w:val="28"/>
                <w:szCs w:val="28"/>
              </w:rPr>
            </w:pPr>
            <w:r>
              <w:rPr>
                <w:rFonts w:hint="eastAsia" w:ascii="黑体" w:hAnsi="黑体" w:eastAsia="黑体" w:cs="宋体"/>
                <w:color w:val="000000"/>
                <w:sz w:val="18"/>
                <w:szCs w:val="18"/>
              </w:rPr>
              <w:t>内网终端检测与响应系统</w:t>
            </w:r>
          </w:p>
        </w:tc>
        <w:tc>
          <w:tcPr>
            <w:tcW w:w="1418"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1</w:t>
            </w:r>
          </w:p>
        </w:tc>
        <w:tc>
          <w:tcPr>
            <w:tcW w:w="1559"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5</w:t>
            </w:r>
          </w:p>
        </w:tc>
        <w:tc>
          <w:tcPr>
            <w:tcW w:w="1418"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924"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合计</w:t>
            </w:r>
          </w:p>
        </w:tc>
        <w:tc>
          <w:tcPr>
            <w:tcW w:w="6017" w:type="dxa"/>
            <w:gridSpan w:val="3"/>
            <w:vAlign w:val="center"/>
          </w:tcPr>
          <w:p>
            <w:pPr>
              <w:jc w:val="center"/>
              <w:rPr>
                <w:rFonts w:ascii="华文仿宋" w:hAnsi="华文仿宋" w:eastAsia="华文仿宋"/>
                <w:sz w:val="28"/>
                <w:szCs w:val="28"/>
              </w:rPr>
            </w:pPr>
          </w:p>
        </w:tc>
        <w:tc>
          <w:tcPr>
            <w:tcW w:w="1418" w:type="dxa"/>
            <w:vAlign w:val="center"/>
          </w:tcPr>
          <w:p>
            <w:pPr>
              <w:jc w:val="center"/>
              <w:rPr>
                <w:rFonts w:ascii="华文仿宋" w:hAnsi="华文仿宋" w:eastAsia="华文仿宋"/>
                <w:sz w:val="28"/>
                <w:szCs w:val="28"/>
              </w:rPr>
            </w:pPr>
          </w:p>
        </w:tc>
      </w:tr>
    </w:tbl>
    <w:p>
      <w:pPr>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ZWYyYzg4ZjNiYzc5YzMzOTRjMzY4YzRhNTg3ZDIifQ=="/>
  </w:docVars>
  <w:rsids>
    <w:rsidRoot w:val="5EA0633E"/>
    <w:rsid w:val="00646687"/>
    <w:rsid w:val="00FB37A0"/>
    <w:rsid w:val="1D1631C4"/>
    <w:rsid w:val="5EA0633E"/>
    <w:rsid w:val="7D15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597</Words>
  <Characters>3407</Characters>
  <Lines>28</Lines>
  <Paragraphs>7</Paragraphs>
  <TotalTime>6</TotalTime>
  <ScaleCrop>false</ScaleCrop>
  <LinksUpToDate>false</LinksUpToDate>
  <CharactersWithSpaces>3997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2023-09-20T04:44:00Z</dcterms:created>
  <dc:creator>落叶飘雪</dc:creator>
  <cp:lastModifiedBy>蜡笔小新新</cp:lastModifiedBy>
  <dcterms:modified xsi:type="dcterms:W3CDTF">2023-09-22T07:56:33Z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458A3EF77CDD46FCA145DAB7E62CF45D_11</vt:lpwstr>
  </property>
</Properties>
</file>