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消防器材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>单位：人民币元</w:t>
      </w:r>
    </w:p>
    <w:tbl>
      <w:tblPr>
        <w:tblStyle w:val="8"/>
        <w:tblW w:w="97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117"/>
        <w:gridCol w:w="1695"/>
        <w:gridCol w:w="825"/>
        <w:gridCol w:w="1275"/>
        <w:gridCol w:w="876"/>
        <w:gridCol w:w="1125"/>
        <w:gridCol w:w="1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规格参数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质保期（年）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品牌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单价（元）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干粉式灭火器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4kg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二氧化碳灭火器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3kg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干粉灭火器箱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4kg；厚度0.8mm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不锈钢干粉灭火器箱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3kg；厚度1mm；304不锈钢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二氧化碳灭火器箱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4kg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防冻手套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30cm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消防水带（带铅丝）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DN65；25m；10pa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消防水枪头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DN65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消防软盘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79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本项目的需求数量为预计采购量，仅供参考，实际使用量会有所增减，报价时请考虑相应风险，如因采购人实际需求，供货数量发生变化，供应商须无条件满足采购人需求，确保供货质量并及时供货，最终结算金额按实际使用量乘以固定单价进行计算，服务期内单价不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供应商报价不能超过最高限价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（49040元）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，否则报价无效。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供货期：供应商收到采购人通知后，7个日历天内完成供货。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按批次结算，供应商每批次供货完成并通过院方验收合格后，未发现质量问题，开具正规发票，院方收到正规发票后30日内将验收合格货物货款一次性支付给供应商。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highlight w:val="none"/>
          <w:lang w:val="en-US" w:eastAsia="zh-CN"/>
        </w:rPr>
        <w:t>其他要求：所有设备均须提供3C产品或消防产品检验合格证等材料；供应商须提供消防部门认可的灭火器检验报告复印件。（</w:t>
      </w:r>
      <w:r>
        <w:rPr>
          <w:rFonts w:hint="eastAsia" w:ascii="宋体" w:hAnsi="宋体" w:cs="Times New Roman"/>
          <w:b/>
          <w:bCs/>
          <w:kern w:val="0"/>
          <w:sz w:val="24"/>
          <w:highlight w:val="none"/>
          <w:lang w:val="en-US" w:eastAsia="zh-CN"/>
        </w:rPr>
        <w:t>需加盖公章</w:t>
      </w:r>
      <w:r>
        <w:rPr>
          <w:rFonts w:hint="eastAsia" w:ascii="宋体" w:hAnsi="宋体" w:cs="Times New Roman"/>
          <w:kern w:val="0"/>
          <w:sz w:val="24"/>
          <w:highlight w:val="none"/>
          <w:lang w:val="en-US"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b/>
          <w:bCs/>
          <w:kern w:val="0"/>
          <w:sz w:val="24"/>
          <w:u w:val="none" w:color="auto"/>
          <w:lang w:val="en-US" w:eastAsia="zh-CN"/>
        </w:rPr>
        <w:t>报价有效期：</w:t>
      </w:r>
      <w:r>
        <w:rPr>
          <w:rFonts w:hint="eastAsia" w:ascii="宋体" w:hAnsi="宋体" w:cs="Times New Roman"/>
          <w:b/>
          <w:bCs/>
          <w:kern w:val="0"/>
          <w:sz w:val="24"/>
          <w:u w:val="thick" w:color="auto"/>
          <w:lang w:val="en-US" w:eastAsia="zh-CN"/>
        </w:rPr>
        <w:t xml:space="preserve">       </w:t>
      </w:r>
      <w:r>
        <w:rPr>
          <w:rFonts w:hint="eastAsia" w:ascii="宋体" w:hAnsi="宋体" w:cs="Times New Roman"/>
          <w:b/>
          <w:bCs/>
          <w:kern w:val="0"/>
          <w:sz w:val="24"/>
          <w:u w:val="none"/>
          <w:lang w:val="en-US" w:eastAsia="zh-CN"/>
        </w:rPr>
        <w:t>（≥1年）</w:t>
      </w:r>
    </w:p>
    <w:p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pStyle w:val="3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pStyle w:val="3"/>
        <w:spacing w:line="360" w:lineRule="auto"/>
      </w:pP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480659B6"/>
    <w:rsid w:val="06406546"/>
    <w:rsid w:val="0D272A3C"/>
    <w:rsid w:val="17240306"/>
    <w:rsid w:val="222B57C6"/>
    <w:rsid w:val="2CD72D2A"/>
    <w:rsid w:val="2DDD2C11"/>
    <w:rsid w:val="2E0E6DB8"/>
    <w:rsid w:val="47F15951"/>
    <w:rsid w:val="480659B6"/>
    <w:rsid w:val="657275F0"/>
    <w:rsid w:val="665A38F8"/>
    <w:rsid w:val="667429EC"/>
    <w:rsid w:val="6D2B59E8"/>
    <w:rsid w:val="70C255C0"/>
    <w:rsid w:val="77213159"/>
    <w:rsid w:val="77605AF2"/>
    <w:rsid w:val="78BE462A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autoRedefine/>
    <w:qFormat/>
    <w:uiPriority w:val="0"/>
    <w:rPr>
      <w:sz w:val="28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4"/>
    <w:next w:val="6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 楽楽</cp:lastModifiedBy>
  <dcterms:modified xsi:type="dcterms:W3CDTF">2024-03-04T00:58:16Z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D54A2C8FA4E74D93BF9C01EBE6286F59_13</vt:lpwstr>
  </property>
</Properties>
</file>