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847DE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报 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单</w:t>
      </w:r>
    </w:p>
    <w:p w14:paraId="07A78BD9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3AADDCC1"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南通市第六人民医院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七氟丙烷气体灭火系统气瓶瓶体检测项目（二次）</w:t>
      </w:r>
    </w:p>
    <w:tbl>
      <w:tblPr>
        <w:tblStyle w:val="10"/>
        <w:tblW w:w="102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490"/>
        <w:gridCol w:w="3262"/>
        <w:gridCol w:w="1260"/>
        <w:gridCol w:w="1215"/>
        <w:gridCol w:w="1324"/>
      </w:tblGrid>
      <w:tr w14:paraId="7216F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B3218B">
            <w:pPr>
              <w:jc w:val="center"/>
            </w:pPr>
            <w:r>
              <w:t>序号</w:t>
            </w: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0779CD">
            <w:pPr>
              <w:jc w:val="center"/>
            </w:pPr>
            <w:r>
              <w:t>名称</w:t>
            </w:r>
          </w:p>
        </w:tc>
        <w:tc>
          <w:tcPr>
            <w:tcW w:w="3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DE405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项目需求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DEAC6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数量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D25D37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E0E8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总价（元）</w:t>
            </w:r>
          </w:p>
        </w:tc>
      </w:tr>
      <w:tr w14:paraId="00F483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F59EFDD">
            <w:pPr>
              <w:jc w:val="center"/>
            </w:pPr>
            <w: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675837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七氟丙烷气体灭火系统气瓶瓶体检测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73A823">
            <w:pPr>
              <w:numPr>
                <w:ilvl w:val="0"/>
                <w:numId w:val="1"/>
              </w:numPr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规格：80kg</w:t>
            </w:r>
          </w:p>
          <w:p w14:paraId="271F2E8B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根据规范要求，对气瓶瓶体进行1次检测，更换气瓶阀门。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F7914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1C390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F27DF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2A9AE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FC3DD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2EC449">
            <w:pPr>
              <w:wordWrap w:val="0"/>
              <w:jc w:val="righ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合   计   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508038">
            <w:pPr>
              <w:jc w:val="center"/>
            </w:pPr>
          </w:p>
        </w:tc>
      </w:tr>
    </w:tbl>
    <w:p w14:paraId="5FC9E2A1">
      <w:pPr>
        <w:pStyle w:val="4"/>
        <w:spacing w:line="360" w:lineRule="auto"/>
        <w:rPr>
          <w:rFonts w:hint="default" w:ascii="宋体" w:hAnsi="宋体" w:cs="Times New Roman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注：气瓶瓶体检测项目包括但不限于外观检查、瓶口螺纹检查、内部检查、壁厚测定、阀座与塞座检查、容积测定、水压试验、瓶阀和安全泄压装置及</w:t>
      </w:r>
      <w:bookmarkStart w:id="0" w:name="_GoBack"/>
      <w:bookmarkEnd w:id="0"/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盲塞的检验、气密性试验等等。</w:t>
      </w:r>
    </w:p>
    <w:p w14:paraId="74646E5A">
      <w:pPr>
        <w:pStyle w:val="4"/>
        <w:numPr>
          <w:ilvl w:val="0"/>
          <w:numId w:val="2"/>
        </w:numPr>
        <w:spacing w:line="360" w:lineRule="auto"/>
        <w:ind w:firstLine="482" w:firstLineChars="200"/>
        <w:rPr>
          <w:rFonts w:hint="default" w:ascii="宋体" w:hAnsi="宋体" w:cs="Times New Roman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FF0000"/>
          <w:kern w:val="0"/>
          <w:sz w:val="24"/>
          <w:lang w:val="en-US" w:eastAsia="zh-CN"/>
        </w:rPr>
        <w:t>供应商合计报价不能超过最高限价8000元，否则报价无效。</w:t>
      </w:r>
    </w:p>
    <w:p w14:paraId="699651E1">
      <w:pPr>
        <w:pStyle w:val="4"/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供应商需提供有效的营业执照复印件（</w:t>
      </w:r>
      <w:r>
        <w:rPr>
          <w:rFonts w:hint="eastAsia" w:ascii="宋体" w:hAnsi="宋体" w:cs="Times New Roman"/>
          <w:b/>
          <w:bCs/>
          <w:kern w:val="0"/>
          <w:sz w:val="24"/>
          <w:lang w:val="en-US" w:eastAsia="zh-CN"/>
        </w:rPr>
        <w:t>需加盖公章</w:t>
      </w:r>
      <w:r>
        <w:rPr>
          <w:rFonts w:hint="eastAsia" w:ascii="宋体" w:hAnsi="宋体" w:cs="Times New Roman"/>
          <w:kern w:val="0"/>
          <w:sz w:val="24"/>
          <w:lang w:val="en-US" w:eastAsia="zh-CN"/>
        </w:rPr>
        <w:t>）</w:t>
      </w:r>
    </w:p>
    <w:p w14:paraId="3E30747D">
      <w:pPr>
        <w:pStyle w:val="4"/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付款方式：供应商全部检测完成并提供相应的检测报告，且经采购人验收合格后，供应商开具相应金额的正规发票，采购人根据医院付款流程一次性无息支付。</w:t>
      </w:r>
    </w:p>
    <w:p w14:paraId="2C75195E">
      <w:pPr>
        <w:pStyle w:val="4"/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检测期限：接到采购人通知后，20个日历天内完成所有检测项目。</w:t>
      </w:r>
    </w:p>
    <w:p w14:paraId="0B2F1169">
      <w:pPr>
        <w:pStyle w:val="4"/>
        <w:numPr>
          <w:ilvl w:val="0"/>
          <w:numId w:val="2"/>
        </w:numPr>
        <w:spacing w:line="360" w:lineRule="auto"/>
        <w:ind w:firstLine="482" w:firstLineChars="200"/>
        <w:rPr>
          <w:rFonts w:hint="default" w:ascii="宋体" w:hAnsi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kern w:val="0"/>
          <w:sz w:val="24"/>
          <w:u w:val="thick" w:color="FF0000"/>
          <w:lang w:val="en-US" w:eastAsia="zh-CN"/>
        </w:rPr>
        <w:t>检测有效期≥1年。检测须满足《气体灭火系统设计规范 GB50370-2005》相关标准，且不得影响后续气瓶正常使用。</w:t>
      </w:r>
    </w:p>
    <w:p w14:paraId="5E8C3C00">
      <w:pPr>
        <w:pStyle w:val="4"/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其他要求：承担气瓶定期检验的检验机构，应符合GB12135的要求，并按TSGZ7001经国家特种设备安全监督管理部门核准。</w:t>
      </w:r>
      <w:r>
        <w:rPr>
          <w:rFonts w:hint="eastAsia" w:ascii="宋体" w:hAnsi="宋体" w:cs="Times New Roman"/>
          <w:b/>
          <w:bCs/>
          <w:kern w:val="0"/>
          <w:sz w:val="24"/>
          <w:u w:val="thick" w:color="FF0000"/>
          <w:lang w:val="en-US" w:eastAsia="zh-CN"/>
        </w:rPr>
        <w:t>（下述内容需提供承诺书。中标供应商在人员进场前须提供所有拟派人员名单、相关资质证明材料等）</w:t>
      </w:r>
    </w:p>
    <w:p w14:paraId="1F06247B">
      <w:pPr>
        <w:pStyle w:val="4"/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.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 xml:space="preserve"> 供应商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必须具有消防设施工程专业承包二级及以上资质；</w:t>
      </w:r>
    </w:p>
    <w:p w14:paraId="7DA74B7B">
      <w:pPr>
        <w:pStyle w:val="4"/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.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 xml:space="preserve"> 供应商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必须具有安全生产许可证。</w:t>
      </w:r>
    </w:p>
    <w:p w14:paraId="542D9D03">
      <w:pPr>
        <w:pStyle w:val="4"/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.</w:t>
      </w: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 xml:space="preserve"> 供应商拟派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施工及充装人员必须具有中华人民共和国特种设备作业人员证书（P证），且必须在有效期内。</w:t>
      </w:r>
    </w:p>
    <w:p w14:paraId="71AD880C">
      <w:pPr>
        <w:pStyle w:val="4"/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.</w:t>
      </w:r>
      <w:r>
        <w:rPr>
          <w:rFonts w:hint="eastAsia" w:ascii="宋体" w:hAnsi="宋体" w:cs="Times New Roman"/>
          <w:b w:val="0"/>
          <w:bCs w:val="0"/>
          <w:kern w:val="0"/>
          <w:sz w:val="24"/>
          <w:lang w:val="en-US" w:eastAsia="zh-CN"/>
        </w:rPr>
        <w:t xml:space="preserve">4 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lang w:val="en-US" w:eastAsia="zh-CN"/>
        </w:rPr>
        <w:t>供应商拟派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lang w:val="en-US" w:eastAsia="zh-CN"/>
        </w:rPr>
        <w:t>检验检测人员必须持有中华人民共和国特种设备检验检测人员证（气瓶QP-1），且必须在有效期内。</w:t>
      </w:r>
    </w:p>
    <w:p w14:paraId="5F25FAB8">
      <w:pPr>
        <w:pStyle w:val="4"/>
        <w:spacing w:line="360" w:lineRule="auto"/>
        <w:ind w:firstLine="241" w:firstLineChars="1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</w:t>
      </w:r>
      <w:r>
        <w:rPr>
          <w:rFonts w:hint="eastAsia"/>
          <w:lang w:val="en-US" w:eastAsia="zh-CN"/>
        </w:rPr>
        <w:t xml:space="preserve">       报价公司（盖章）：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</w:p>
    <w:p w14:paraId="29B8520A">
      <w:pPr>
        <w:pStyle w:val="4"/>
        <w:spacing w:line="360" w:lineRule="auto"/>
        <w:ind w:firstLine="4200" w:firstLineChars="1500"/>
        <w:jc w:val="both"/>
        <w:rPr>
          <w:rFonts w:hint="default" w:ascii="宋体" w:hAnsi="宋体" w:eastAsia="宋体"/>
          <w:b/>
          <w:color w:val="000000"/>
          <w:sz w:val="24"/>
          <w:u w:val="single"/>
          <w:lang w:val="en-US" w:eastAsia="zh-CN"/>
        </w:rPr>
      </w:pPr>
      <w:r>
        <w:rPr>
          <w:rFonts w:hint="eastAsia"/>
          <w:lang w:val="en-US" w:eastAsia="zh-CN"/>
        </w:rPr>
        <w:t>联系人及联系电话：</w:t>
      </w:r>
      <w:r>
        <w:rPr>
          <w:rFonts w:hint="eastAsia" w:ascii="宋体" w:hAnsi="宋体"/>
          <w:b/>
          <w:color w:val="000000"/>
          <w:kern w:val="0"/>
          <w:sz w:val="24"/>
          <w:u w:val="single"/>
          <w:lang w:val="en-US" w:eastAsia="zh-CN"/>
        </w:rPr>
        <w:t xml:space="preserve">                      </w:t>
      </w:r>
    </w:p>
    <w:p w14:paraId="778C90EA">
      <w:pPr>
        <w:pStyle w:val="4"/>
        <w:wordWrap w:val="0"/>
        <w:spacing w:line="360" w:lineRule="auto"/>
        <w:jc w:val="right"/>
        <w:rPr>
          <w:rFonts w:hint="default" w:ascii="宋体" w:hAnsi="宋体" w:eastAsia="宋体"/>
          <w:b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7" w:h="16840"/>
      <w:pgMar w:top="1134" w:right="1083" w:bottom="1134" w:left="10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195E4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C8895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50BCF"/>
    <w:multiLevelType w:val="singleLevel"/>
    <w:tmpl w:val="8BD50B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4FAAE5"/>
    <w:multiLevelType w:val="multilevel"/>
    <w:tmpl w:val="A94FAA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  <w:b w:val="0"/>
        <w:bCs w:val="0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28EB69A0"/>
    <w:rsid w:val="0607573C"/>
    <w:rsid w:val="06D72513"/>
    <w:rsid w:val="073562D9"/>
    <w:rsid w:val="073C7E3F"/>
    <w:rsid w:val="07426476"/>
    <w:rsid w:val="087A6261"/>
    <w:rsid w:val="09FE0982"/>
    <w:rsid w:val="0A3E7253"/>
    <w:rsid w:val="0BF75A7E"/>
    <w:rsid w:val="100449D5"/>
    <w:rsid w:val="145D4395"/>
    <w:rsid w:val="155142DE"/>
    <w:rsid w:val="163F05DA"/>
    <w:rsid w:val="18F0215D"/>
    <w:rsid w:val="1D7B0D63"/>
    <w:rsid w:val="21C55715"/>
    <w:rsid w:val="23AF3DBC"/>
    <w:rsid w:val="240E24B8"/>
    <w:rsid w:val="250756ED"/>
    <w:rsid w:val="25C52A5A"/>
    <w:rsid w:val="26554E4A"/>
    <w:rsid w:val="28EB69A0"/>
    <w:rsid w:val="296B07E2"/>
    <w:rsid w:val="2DB64084"/>
    <w:rsid w:val="2EE90511"/>
    <w:rsid w:val="2F1E775B"/>
    <w:rsid w:val="308333A6"/>
    <w:rsid w:val="33087E4A"/>
    <w:rsid w:val="33753183"/>
    <w:rsid w:val="387803EF"/>
    <w:rsid w:val="39AA4357"/>
    <w:rsid w:val="3BB23479"/>
    <w:rsid w:val="3CC4406E"/>
    <w:rsid w:val="3DE65C69"/>
    <w:rsid w:val="3ED03C16"/>
    <w:rsid w:val="3F3B1639"/>
    <w:rsid w:val="3FA61C93"/>
    <w:rsid w:val="41F500D2"/>
    <w:rsid w:val="42D1764F"/>
    <w:rsid w:val="431A56AC"/>
    <w:rsid w:val="444B414F"/>
    <w:rsid w:val="479409DA"/>
    <w:rsid w:val="4E0B323E"/>
    <w:rsid w:val="4E242BDB"/>
    <w:rsid w:val="4E8E391A"/>
    <w:rsid w:val="4FC51622"/>
    <w:rsid w:val="52E750C7"/>
    <w:rsid w:val="545A267D"/>
    <w:rsid w:val="559D38C5"/>
    <w:rsid w:val="5A5C6FDD"/>
    <w:rsid w:val="5AB073D4"/>
    <w:rsid w:val="608D5BE8"/>
    <w:rsid w:val="61FA4982"/>
    <w:rsid w:val="62F03745"/>
    <w:rsid w:val="632D3381"/>
    <w:rsid w:val="63B24EF4"/>
    <w:rsid w:val="65AB66C0"/>
    <w:rsid w:val="6ED272F8"/>
    <w:rsid w:val="6F832A49"/>
    <w:rsid w:val="715346CC"/>
    <w:rsid w:val="71F21F50"/>
    <w:rsid w:val="73EF098B"/>
    <w:rsid w:val="748D3A3F"/>
    <w:rsid w:val="770A709A"/>
    <w:rsid w:val="77E15F71"/>
    <w:rsid w:val="7D39474A"/>
    <w:rsid w:val="7D5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4">
    <w:name w:val="Body Text"/>
    <w:basedOn w:val="1"/>
    <w:qFormat/>
    <w:uiPriority w:val="0"/>
    <w:rPr>
      <w:sz w:val="28"/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等线" w:hAnsi="等线" w:eastAsia="等线"/>
      <w:sz w:val="21"/>
      <w:szCs w:val="2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0"/>
    <w:pPr>
      <w:spacing w:before="100" w:beforeAutospacing="1" w:after="200" w:line="273" w:lineRule="auto"/>
      <w:ind w:left="720"/>
      <w:contextualSpacing/>
    </w:pPr>
    <w:rPr>
      <w:rFonts w:ascii="Calibri" w:hAnsi="Calibri" w:eastAsia="宋体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688</Characters>
  <Lines>0</Lines>
  <Paragraphs>0</Paragraphs>
  <TotalTime>0</TotalTime>
  <ScaleCrop>false</ScaleCrop>
  <LinksUpToDate>false</LinksUpToDate>
  <CharactersWithSpaces>795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2022-08-17T00:49:00Z</dcterms:created>
  <dc:creator> </dc:creator>
  <cp:lastModifiedBy>心有所觉 亦作不解</cp:lastModifiedBy>
  <cp:lastPrinted>2023-10-24T00:36:00Z</cp:lastPrinted>
  <dcterms:modified xsi:type="dcterms:W3CDTF">2024-08-09T08:04:20Z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CD5FE497C0AA463A801680D4F39BD8E7_13</vt:lpwstr>
  </property>
</Properties>
</file>